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7E8F" w14:textId="61B545F6" w:rsidR="00752B5A" w:rsidRPr="00752B5A" w:rsidRDefault="00752B5A" w:rsidP="00752B5A">
      <w:pPr>
        <w:spacing w:after="0"/>
        <w:jc w:val="right"/>
        <w:rPr>
          <w:rFonts w:ascii="Times New Roman" w:hAnsi="Times New Roman" w:cs="Times New Roman"/>
          <w:color w:val="000000"/>
          <w:sz w:val="24"/>
          <w:szCs w:val="24"/>
        </w:rPr>
      </w:pPr>
      <w:r w:rsidRPr="00752B5A">
        <w:rPr>
          <w:rFonts w:ascii="Times New Roman" w:hAnsi="Times New Roman" w:cs="Times New Roman"/>
          <w:color w:val="000000"/>
          <w:sz w:val="24"/>
          <w:szCs w:val="24"/>
        </w:rPr>
        <w:t>Specialiųjų pirkimo sąlygų 2 priedas</w:t>
      </w:r>
    </w:p>
    <w:p w14:paraId="3D430329" w14:textId="77777777" w:rsidR="00F878EB" w:rsidRDefault="00F878EB" w:rsidP="000122C8">
      <w:pPr>
        <w:spacing w:after="0"/>
        <w:jc w:val="center"/>
        <w:rPr>
          <w:rFonts w:ascii="Times New Roman" w:hAnsi="Times New Roman" w:cs="Times New Roman"/>
          <w:b/>
          <w:bCs/>
          <w:color w:val="000000"/>
          <w:sz w:val="24"/>
          <w:szCs w:val="24"/>
        </w:rPr>
      </w:pPr>
    </w:p>
    <w:p w14:paraId="678251D7" w14:textId="04AD6686" w:rsidR="000122C8" w:rsidRDefault="00F878EB" w:rsidP="000122C8">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UGNIASIENĖS</w:t>
      </w:r>
      <w:r w:rsidR="000122C8">
        <w:rPr>
          <w:rFonts w:ascii="Times New Roman" w:hAnsi="Times New Roman" w:cs="Times New Roman"/>
          <w:b/>
          <w:bCs/>
          <w:color w:val="000000"/>
          <w:sz w:val="24"/>
          <w:szCs w:val="24"/>
        </w:rPr>
        <w:t xml:space="preserve"> </w:t>
      </w:r>
      <w:r w:rsidR="004816A6">
        <w:rPr>
          <w:rFonts w:ascii="Times New Roman" w:hAnsi="Times New Roman" w:cs="Times New Roman"/>
          <w:b/>
          <w:bCs/>
          <w:color w:val="000000"/>
          <w:sz w:val="24"/>
          <w:szCs w:val="24"/>
        </w:rPr>
        <w:t xml:space="preserve">(TIPAS 2) </w:t>
      </w:r>
      <w:r w:rsidR="000122C8">
        <w:rPr>
          <w:rFonts w:ascii="Times New Roman" w:hAnsi="Times New Roman" w:cs="Times New Roman"/>
          <w:b/>
          <w:bCs/>
          <w:color w:val="000000"/>
          <w:sz w:val="24"/>
          <w:szCs w:val="24"/>
        </w:rPr>
        <w:t>TECHNINĖ SPECIFIKACIJA</w:t>
      </w:r>
    </w:p>
    <w:p w14:paraId="68C03292" w14:textId="68CE99EF" w:rsidR="00325B94" w:rsidRDefault="00034E71" w:rsidP="00BB7DE7">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000122C8">
        <w:rPr>
          <w:rFonts w:ascii="Times New Roman" w:hAnsi="Times New Roman" w:cs="Times New Roman"/>
          <w:b/>
          <w:bCs/>
          <w:color w:val="000000"/>
          <w:sz w:val="24"/>
          <w:szCs w:val="24"/>
        </w:rPr>
        <w:t xml:space="preserve"> pirkimo dalis</w:t>
      </w:r>
    </w:p>
    <w:p w14:paraId="14289CB8" w14:textId="77777777" w:rsidR="00851DE4" w:rsidRDefault="00851DE4" w:rsidP="00BB7DE7">
      <w:pPr>
        <w:spacing w:after="0"/>
        <w:jc w:val="center"/>
        <w:rPr>
          <w:rFonts w:ascii="Times New Roman" w:hAnsi="Times New Roman" w:cs="Times New Roman"/>
          <w:b/>
          <w:bCs/>
          <w:color w:val="000000"/>
          <w:sz w:val="24"/>
          <w:szCs w:val="24"/>
        </w:rPr>
      </w:pPr>
    </w:p>
    <w:p w14:paraId="3444DA7C" w14:textId="77777777" w:rsidR="00D75177" w:rsidRPr="005720B8" w:rsidRDefault="00D75177" w:rsidP="00D75177">
      <w:pPr>
        <w:spacing w:after="0" w:line="240" w:lineRule="auto"/>
        <w:ind w:left="9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p w14:paraId="3EF6881B" w14:textId="77777777" w:rsidR="00BB7DE7" w:rsidRDefault="00BB7DE7" w:rsidP="00BB7DE7">
      <w:pPr>
        <w:spacing w:after="0"/>
        <w:jc w:val="center"/>
        <w:rPr>
          <w:rFonts w:ascii="Times New Roman" w:hAnsi="Times New Roman" w:cs="Times New Roman"/>
          <w:b/>
          <w:bCs/>
          <w:color w:val="000000"/>
          <w:sz w:val="24"/>
          <w:szCs w:val="24"/>
        </w:rPr>
      </w:pPr>
    </w:p>
    <w:tbl>
      <w:tblPr>
        <w:tblStyle w:val="TableGrid"/>
        <w:tblpPr w:leftFromText="180" w:rightFromText="180" w:vertAnchor="page" w:horzAnchor="margin" w:tblpY="3337"/>
        <w:tblW w:w="9535" w:type="dxa"/>
        <w:tblLook w:val="04A0" w:firstRow="1" w:lastRow="0" w:firstColumn="1" w:lastColumn="0" w:noHBand="0" w:noVBand="1"/>
      </w:tblPr>
      <w:tblGrid>
        <w:gridCol w:w="1129"/>
        <w:gridCol w:w="8406"/>
      </w:tblGrid>
      <w:tr w:rsidR="00851DE4" w:rsidRPr="00CE5162" w14:paraId="3C63359A" w14:textId="77777777" w:rsidTr="00851DE4">
        <w:trPr>
          <w:trHeight w:val="274"/>
        </w:trPr>
        <w:tc>
          <w:tcPr>
            <w:tcW w:w="9535" w:type="dxa"/>
            <w:gridSpan w:val="2"/>
          </w:tcPr>
          <w:p w14:paraId="2E1A2752" w14:textId="77777777" w:rsidR="00851DE4" w:rsidRPr="00B966C1" w:rsidRDefault="00851DE4" w:rsidP="00851DE4">
            <w:pPr>
              <w:pStyle w:val="ListParagraph"/>
              <w:numPr>
                <w:ilvl w:val="0"/>
                <w:numId w:val="1"/>
              </w:numPr>
              <w:autoSpaceDN w:val="0"/>
              <w:spacing w:after="0" w:line="240" w:lineRule="auto"/>
              <w:jc w:val="both"/>
              <w:rPr>
                <w:rFonts w:ascii="Times New Roman" w:eastAsia="Times New Roman" w:hAnsi="Times New Roman" w:cs="Times New Roman"/>
                <w:b/>
                <w:color w:val="000000"/>
                <w:lang w:eastAsia="lt-LT"/>
              </w:rPr>
            </w:pPr>
            <w:r w:rsidRPr="00B966C1">
              <w:rPr>
                <w:rFonts w:ascii="Times New Roman" w:eastAsia="Times New Roman" w:hAnsi="Times New Roman" w:cs="Times New Roman"/>
                <w:b/>
                <w:color w:val="000000"/>
                <w:lang w:eastAsia="lt-LT"/>
              </w:rPr>
              <w:t>Bendrieji reikalavimai:</w:t>
            </w:r>
          </w:p>
        </w:tc>
      </w:tr>
      <w:tr w:rsidR="00851DE4" w:rsidRPr="00114210" w14:paraId="26ADE906" w14:textId="77777777" w:rsidTr="00851DE4">
        <w:trPr>
          <w:trHeight w:val="274"/>
        </w:trPr>
        <w:tc>
          <w:tcPr>
            <w:tcW w:w="1129" w:type="dxa"/>
          </w:tcPr>
          <w:p w14:paraId="450C335B"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406" w:type="dxa"/>
          </w:tcPr>
          <w:p w14:paraId="001AFECF" w14:textId="77777777" w:rsidR="00851DE4" w:rsidRPr="00B966C1" w:rsidRDefault="00851DE4" w:rsidP="00851DE4">
            <w:pPr>
              <w:autoSpaceDN w:val="0"/>
              <w:spacing w:after="0" w:line="240" w:lineRule="auto"/>
              <w:contextualSpacing/>
              <w:jc w:val="both"/>
              <w:rPr>
                <w:rFonts w:ascii="Times New Roman" w:eastAsia="Times New Roman" w:hAnsi="Times New Roman" w:cs="Times New Roman"/>
                <w:color w:val="000000"/>
                <w:lang w:eastAsia="lt-LT"/>
              </w:rPr>
            </w:pPr>
            <w:r w:rsidRPr="00B966C1">
              <w:rPr>
                <w:rFonts w:ascii="Times New Roman" w:hAnsi="Times New Roman" w:cs="Times New Roman"/>
              </w:rPr>
              <w:t xml:space="preserve">Visa pateikiama įranga privalo būti nauja (negali būti atnaujinta, restauruota (angl. </w:t>
            </w:r>
            <w:r w:rsidRPr="00B966C1">
              <w:rPr>
                <w:rFonts w:ascii="Times New Roman" w:hAnsi="Times New Roman" w:cs="Times New Roman"/>
                <w:i/>
              </w:rPr>
              <w:t>refurbished</w:t>
            </w:r>
            <w:r w:rsidRPr="00B966C1">
              <w:rPr>
                <w:rFonts w:ascii="Times New Roman" w:hAnsi="Times New Roman" w:cs="Times New Roman"/>
              </w:rPr>
              <w:t>), nenaudota, pateikta nepažeistoje gamyklinėje pakuotėje.</w:t>
            </w:r>
          </w:p>
        </w:tc>
      </w:tr>
      <w:tr w:rsidR="00851DE4" w:rsidRPr="00114210" w14:paraId="5422B98C" w14:textId="77777777" w:rsidTr="00851DE4">
        <w:trPr>
          <w:trHeight w:val="274"/>
        </w:trPr>
        <w:tc>
          <w:tcPr>
            <w:tcW w:w="1129" w:type="dxa"/>
          </w:tcPr>
          <w:p w14:paraId="78D149E5"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406" w:type="dxa"/>
          </w:tcPr>
          <w:p w14:paraId="100CBFB2" w14:textId="77777777" w:rsidR="00851DE4" w:rsidRPr="00B966C1" w:rsidRDefault="00851DE4" w:rsidP="00851DE4">
            <w:pPr>
              <w:autoSpaceDN w:val="0"/>
              <w:spacing w:after="0" w:line="240" w:lineRule="auto"/>
              <w:contextualSpacing/>
              <w:jc w:val="both"/>
              <w:rPr>
                <w:rFonts w:ascii="Times New Roman" w:eastAsia="Times New Roman" w:hAnsi="Times New Roman" w:cs="Times New Roman"/>
                <w:bCs/>
              </w:rPr>
            </w:pPr>
            <w:r w:rsidRPr="00B966C1">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851DE4" w:rsidRPr="00114210" w14:paraId="03D3115A" w14:textId="77777777" w:rsidTr="00851DE4">
        <w:trPr>
          <w:trHeight w:val="274"/>
        </w:trPr>
        <w:tc>
          <w:tcPr>
            <w:tcW w:w="1129" w:type="dxa"/>
          </w:tcPr>
          <w:p w14:paraId="53351E4E"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406" w:type="dxa"/>
          </w:tcPr>
          <w:p w14:paraId="37D86623" w14:textId="77777777" w:rsidR="00851DE4" w:rsidRPr="00B966C1" w:rsidRDefault="00851DE4" w:rsidP="00851DE4">
            <w:pPr>
              <w:keepNext/>
              <w:tabs>
                <w:tab w:val="left" w:pos="318"/>
              </w:tabs>
              <w:spacing w:after="0" w:line="240" w:lineRule="auto"/>
              <w:ind w:left="35"/>
              <w:contextualSpacing/>
              <w:jc w:val="both"/>
              <w:outlineLvl w:val="0"/>
              <w:rPr>
                <w:rFonts w:ascii="Times New Roman" w:hAnsi="Times New Roman" w:cs="Times New Roman"/>
              </w:rPr>
            </w:pPr>
            <w:r w:rsidRPr="00B966C1">
              <w:rPr>
                <w:rFonts w:ascii="Times New Roman" w:hAnsi="Times New Roman" w:cs="Times New Roman"/>
              </w:rPr>
              <w:t xml:space="preserve">Tiekėjas turi užtikrinti, kad gamintojas nėra paskelbęs žinios apie siūlomos įrangos gamybos arba tobulinimo nutraukimą (pvz., angl. </w:t>
            </w:r>
            <w:r w:rsidRPr="00B966C1">
              <w:rPr>
                <w:rFonts w:ascii="Times New Roman" w:hAnsi="Times New Roman" w:cs="Times New Roman"/>
                <w:i/>
              </w:rPr>
              <w:t>end of life time</w:t>
            </w:r>
            <w:r w:rsidRPr="00B966C1">
              <w:rPr>
                <w:rFonts w:ascii="Times New Roman" w:hAnsi="Times New Roman" w:cs="Times New Roman"/>
              </w:rPr>
              <w:t xml:space="preserve"> ar </w:t>
            </w:r>
            <w:r w:rsidRPr="00B966C1">
              <w:rPr>
                <w:rFonts w:ascii="Times New Roman" w:hAnsi="Times New Roman" w:cs="Times New Roman"/>
                <w:i/>
              </w:rPr>
              <w:t>Discontinued</w:t>
            </w:r>
            <w:r w:rsidRPr="00B966C1">
              <w:rPr>
                <w:rFonts w:ascii="Times New Roman" w:hAnsi="Times New Roman" w:cs="Times New Roman"/>
              </w:rPr>
              <w:t>).</w:t>
            </w:r>
          </w:p>
        </w:tc>
      </w:tr>
      <w:tr w:rsidR="00851DE4" w:rsidRPr="00114210" w14:paraId="492BD534" w14:textId="77777777" w:rsidTr="00851DE4">
        <w:trPr>
          <w:trHeight w:val="274"/>
        </w:trPr>
        <w:tc>
          <w:tcPr>
            <w:tcW w:w="1129" w:type="dxa"/>
          </w:tcPr>
          <w:p w14:paraId="534D6BDB"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406" w:type="dxa"/>
            <w:vAlign w:val="center"/>
          </w:tcPr>
          <w:p w14:paraId="5C2F994F" w14:textId="77777777" w:rsidR="00851DE4" w:rsidRPr="00B966C1" w:rsidRDefault="00851DE4" w:rsidP="00851DE4">
            <w:pPr>
              <w:spacing w:after="0" w:line="240" w:lineRule="auto"/>
              <w:contextualSpacing/>
              <w:rPr>
                <w:rFonts w:ascii="Times New Roman" w:hAnsi="Times New Roman" w:cs="Times New Roman"/>
                <w:bCs/>
              </w:rPr>
            </w:pPr>
            <w:r w:rsidRPr="00B966C1">
              <w:rPr>
                <w:rFonts w:ascii="Times New Roman" w:hAnsi="Times New Roman" w:cs="Times New Roman"/>
                <w:bCs/>
              </w:rPr>
              <w:t>Saugumo reikalavimai (netaikoma programinei įrangai):</w:t>
            </w:r>
          </w:p>
          <w:p w14:paraId="291942FE" w14:textId="77777777" w:rsidR="00851DE4" w:rsidRPr="00B966C1" w:rsidRDefault="00851DE4" w:rsidP="00851DE4">
            <w:pPr>
              <w:spacing w:after="0" w:line="240" w:lineRule="auto"/>
              <w:contextualSpacing/>
              <w:rPr>
                <w:rFonts w:ascii="Times New Roman" w:hAnsi="Times New Roman" w:cs="Times New Roman"/>
              </w:rPr>
            </w:pPr>
            <w:r w:rsidRPr="00B966C1">
              <w:rPr>
                <w:rFonts w:ascii="Times New Roman" w:hAnsi="Times New Roman" w:cs="Times New Roman"/>
                <w:bCs/>
              </w:rPr>
              <w:t xml:space="preserve">standieji ar puslaidininkiniai diskai (angl. </w:t>
            </w:r>
            <w:r w:rsidRPr="00B966C1">
              <w:rPr>
                <w:rFonts w:ascii="Times New Roman" w:hAnsi="Times New Roman" w:cs="Times New Roman"/>
                <w:bCs/>
                <w:i/>
              </w:rPr>
              <w:t>HDD/SSD</w:t>
            </w:r>
            <w:r w:rsidRPr="00B966C1">
              <w:rPr>
                <w:rFonts w:ascii="Times New Roman" w:hAnsi="Times New Roman" w:cs="Times New Roman"/>
                <w:bCs/>
              </w:rPr>
              <w:t>) ar atminties kortelės, gedimo atveju turi būti  keičiamos naujomis. Sugedusios atminties laikmenos sunaikinamos Pirkėjo patalpose ir Tiekėjui negrąžinamos.</w:t>
            </w:r>
          </w:p>
        </w:tc>
      </w:tr>
      <w:tr w:rsidR="00851DE4" w:rsidRPr="00114210" w14:paraId="5DD3FFD1" w14:textId="77777777" w:rsidTr="00851DE4">
        <w:trPr>
          <w:trHeight w:val="274"/>
        </w:trPr>
        <w:tc>
          <w:tcPr>
            <w:tcW w:w="1129" w:type="dxa"/>
          </w:tcPr>
          <w:p w14:paraId="319EF7F2"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406" w:type="dxa"/>
            <w:vAlign w:val="center"/>
          </w:tcPr>
          <w:p w14:paraId="3A9AC067" w14:textId="77777777" w:rsidR="00851DE4" w:rsidRPr="00B966C1" w:rsidRDefault="00851DE4" w:rsidP="00851DE4">
            <w:pPr>
              <w:spacing w:after="0" w:line="240" w:lineRule="auto"/>
              <w:contextualSpacing/>
              <w:rPr>
                <w:rFonts w:ascii="Times New Roman" w:hAnsi="Times New Roman" w:cs="Times New Roman"/>
                <w:bCs/>
              </w:rPr>
            </w:pPr>
            <w:r w:rsidRPr="00B966C1">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B966C1">
              <w:rPr>
                <w:rFonts w:ascii="Times New Roman" w:hAnsi="Times New Roman" w:cs="Times New Roman"/>
                <w:bCs/>
                <w:i/>
              </w:rPr>
              <w:t>HDD/SSD</w:t>
            </w:r>
            <w:r w:rsidRPr="00B966C1">
              <w:rPr>
                <w:rFonts w:ascii="Times New Roman" w:hAnsi="Times New Roman" w:cs="Times New Roman"/>
                <w:bCs/>
              </w:rPr>
              <w:t>) ar atminties kortelių.</w:t>
            </w:r>
          </w:p>
        </w:tc>
      </w:tr>
      <w:tr w:rsidR="00851DE4" w:rsidRPr="000C66EB" w14:paraId="6C638057" w14:textId="77777777" w:rsidTr="00851DE4">
        <w:trPr>
          <w:trHeight w:val="274"/>
        </w:trPr>
        <w:tc>
          <w:tcPr>
            <w:tcW w:w="1129" w:type="dxa"/>
          </w:tcPr>
          <w:p w14:paraId="2909CAF2"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rPr>
            </w:pPr>
          </w:p>
        </w:tc>
        <w:tc>
          <w:tcPr>
            <w:tcW w:w="8406" w:type="dxa"/>
          </w:tcPr>
          <w:p w14:paraId="77BB6D78" w14:textId="77777777" w:rsidR="00851DE4" w:rsidRPr="00B966C1" w:rsidRDefault="00851DE4" w:rsidP="00851DE4">
            <w:pPr>
              <w:autoSpaceDN w:val="0"/>
              <w:spacing w:after="0" w:line="240" w:lineRule="auto"/>
              <w:contextualSpacing/>
              <w:jc w:val="both"/>
              <w:rPr>
                <w:rFonts w:ascii="Times New Roman" w:eastAsia="Times New Roman" w:hAnsi="Times New Roman" w:cs="Times New Roman"/>
                <w:bCs/>
              </w:rPr>
            </w:pPr>
            <w:r w:rsidRPr="00B966C1">
              <w:rPr>
                <w:rFonts w:ascii="Times New Roman" w:hAnsi="Times New Roman" w:cs="Times New Roman"/>
              </w:rPr>
              <w:t>Tiekėjas į savo pasiūlymą turi įtraukti visą programinę įrangą, suderinimo paslaugą, reikalingą šioje specifikacijoje nurodytiems reikalavimams įvykdyti.</w:t>
            </w:r>
          </w:p>
        </w:tc>
      </w:tr>
      <w:tr w:rsidR="00851DE4" w:rsidRPr="000C66EB" w14:paraId="4CB0AFE1" w14:textId="77777777" w:rsidTr="00851DE4">
        <w:trPr>
          <w:trHeight w:val="274"/>
        </w:trPr>
        <w:tc>
          <w:tcPr>
            <w:tcW w:w="1129" w:type="dxa"/>
          </w:tcPr>
          <w:p w14:paraId="403F6B3D"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rPr>
            </w:pPr>
          </w:p>
        </w:tc>
        <w:tc>
          <w:tcPr>
            <w:tcW w:w="8406" w:type="dxa"/>
          </w:tcPr>
          <w:p w14:paraId="5C01D0B6" w14:textId="77777777" w:rsidR="00851DE4" w:rsidRPr="00B966C1" w:rsidRDefault="00851DE4" w:rsidP="00851DE4">
            <w:pPr>
              <w:autoSpaceDN w:val="0"/>
              <w:spacing w:after="0" w:line="240" w:lineRule="auto"/>
              <w:contextualSpacing/>
              <w:jc w:val="both"/>
              <w:rPr>
                <w:rFonts w:ascii="Times New Roman" w:eastAsia="Times New Roman" w:hAnsi="Times New Roman" w:cs="Times New Roman"/>
                <w:bCs/>
              </w:rPr>
            </w:pPr>
            <w:r w:rsidRPr="00B966C1">
              <w:rPr>
                <w:rFonts w:ascii="Times New Roman" w:hAnsi="Times New Roman" w:cs="Times New Roman"/>
              </w:rPr>
              <w:t>Tiekėjas turi pateikti nuorodą į gamintojo puslapį, kuriame yra tiksli pasiūlymą atitinkančios techninės ar programinės įrangos techninė specifikacija.</w:t>
            </w:r>
          </w:p>
        </w:tc>
      </w:tr>
      <w:tr w:rsidR="00851DE4" w:rsidRPr="000C66EB" w14:paraId="5EBAC32E" w14:textId="77777777" w:rsidTr="00851DE4">
        <w:trPr>
          <w:trHeight w:val="274"/>
        </w:trPr>
        <w:tc>
          <w:tcPr>
            <w:tcW w:w="1129" w:type="dxa"/>
          </w:tcPr>
          <w:p w14:paraId="31583BCE"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rPr>
            </w:pPr>
          </w:p>
        </w:tc>
        <w:tc>
          <w:tcPr>
            <w:tcW w:w="8406" w:type="dxa"/>
          </w:tcPr>
          <w:p w14:paraId="20FB2B59" w14:textId="77777777" w:rsidR="00851DE4" w:rsidRPr="00B966C1" w:rsidRDefault="00851DE4" w:rsidP="00851DE4">
            <w:pPr>
              <w:autoSpaceDN w:val="0"/>
              <w:spacing w:after="0" w:line="240" w:lineRule="auto"/>
              <w:contextualSpacing/>
              <w:jc w:val="both"/>
              <w:rPr>
                <w:rFonts w:ascii="Times New Roman" w:hAnsi="Times New Roman" w:cs="Times New Roman"/>
              </w:rPr>
            </w:pPr>
            <w:r w:rsidRPr="00B966C1">
              <w:rPr>
                <w:rFonts w:ascii="Times New Roman" w:hAnsi="Times New Roman" w:cs="Times New Roman"/>
              </w:rPr>
              <w:t>Tiekėjas privalo pasiūlyme pateikti įrangos ir visų jos sudėtinių dalių gamintojo identifikacinius kodus.</w:t>
            </w:r>
          </w:p>
        </w:tc>
      </w:tr>
      <w:tr w:rsidR="00851DE4" w:rsidRPr="000C66EB" w14:paraId="633F8704" w14:textId="77777777" w:rsidTr="00851DE4">
        <w:trPr>
          <w:trHeight w:val="274"/>
        </w:trPr>
        <w:tc>
          <w:tcPr>
            <w:tcW w:w="1129" w:type="dxa"/>
          </w:tcPr>
          <w:p w14:paraId="3DDEB159"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rPr>
            </w:pPr>
          </w:p>
        </w:tc>
        <w:tc>
          <w:tcPr>
            <w:tcW w:w="8406" w:type="dxa"/>
          </w:tcPr>
          <w:p w14:paraId="234683EB" w14:textId="77777777" w:rsidR="00851DE4" w:rsidRPr="00B966C1" w:rsidRDefault="00851DE4" w:rsidP="00851DE4">
            <w:pPr>
              <w:autoSpaceDN w:val="0"/>
              <w:spacing w:after="0" w:line="240" w:lineRule="auto"/>
              <w:contextualSpacing/>
              <w:jc w:val="both"/>
              <w:rPr>
                <w:rFonts w:ascii="Times New Roman" w:hAnsi="Times New Roman" w:cs="Times New Roman"/>
              </w:rPr>
            </w:pPr>
            <w:r w:rsidRPr="00B966C1">
              <w:rPr>
                <w:rFonts w:ascii="Times New Roman" w:hAnsi="Times New Roman" w:cs="Times New Roman"/>
              </w:rPr>
              <w:t>Įranga turi būti pateikta įrangos gamintojo nustatytu keliu.</w:t>
            </w:r>
          </w:p>
        </w:tc>
      </w:tr>
      <w:tr w:rsidR="00851DE4" w:rsidRPr="000C66EB" w14:paraId="7948EAD3" w14:textId="77777777" w:rsidTr="00851DE4">
        <w:trPr>
          <w:trHeight w:val="274"/>
        </w:trPr>
        <w:tc>
          <w:tcPr>
            <w:tcW w:w="1129" w:type="dxa"/>
          </w:tcPr>
          <w:p w14:paraId="172B8A95"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rPr>
            </w:pPr>
          </w:p>
        </w:tc>
        <w:tc>
          <w:tcPr>
            <w:tcW w:w="8406" w:type="dxa"/>
          </w:tcPr>
          <w:p w14:paraId="7C703FB5" w14:textId="77777777" w:rsidR="00851DE4" w:rsidRPr="00B966C1" w:rsidRDefault="00851DE4" w:rsidP="00851DE4">
            <w:pPr>
              <w:autoSpaceDN w:val="0"/>
              <w:spacing w:after="0" w:line="240" w:lineRule="auto"/>
              <w:contextualSpacing/>
              <w:jc w:val="both"/>
              <w:rPr>
                <w:rFonts w:ascii="Times New Roman" w:hAnsi="Times New Roman" w:cs="Times New Roman"/>
              </w:rPr>
            </w:pPr>
            <w:r w:rsidRPr="00B966C1">
              <w:rPr>
                <w:rFonts w:ascii="Times New Roman" w:hAnsi="Times New Roman" w:cs="Times New Roman"/>
              </w:rPr>
              <w:t>Turi būti pateikta gamintojo autorizacijos forma (angl. Manufacturer Authorization Form), adresuota perkančiajai organizacijai.</w:t>
            </w:r>
          </w:p>
        </w:tc>
      </w:tr>
      <w:tr w:rsidR="00851DE4" w:rsidRPr="000C66EB" w14:paraId="73251AEE" w14:textId="77777777" w:rsidTr="00851DE4">
        <w:trPr>
          <w:trHeight w:val="274"/>
        </w:trPr>
        <w:tc>
          <w:tcPr>
            <w:tcW w:w="1129" w:type="dxa"/>
          </w:tcPr>
          <w:p w14:paraId="7D65AC64" w14:textId="77777777" w:rsidR="00851DE4" w:rsidRPr="00B966C1" w:rsidRDefault="00851DE4" w:rsidP="00851DE4">
            <w:pPr>
              <w:pStyle w:val="ListParagraph"/>
              <w:numPr>
                <w:ilvl w:val="1"/>
                <w:numId w:val="1"/>
              </w:numPr>
              <w:spacing w:after="0" w:line="240" w:lineRule="auto"/>
              <w:ind w:left="22" w:hanging="22"/>
              <w:jc w:val="both"/>
              <w:rPr>
                <w:rFonts w:ascii="Times New Roman" w:hAnsi="Times New Roman" w:cs="Times New Roman"/>
              </w:rPr>
            </w:pPr>
          </w:p>
        </w:tc>
        <w:tc>
          <w:tcPr>
            <w:tcW w:w="8406" w:type="dxa"/>
          </w:tcPr>
          <w:p w14:paraId="40936F64" w14:textId="77777777" w:rsidR="00851DE4" w:rsidRPr="00B966C1" w:rsidRDefault="00851DE4" w:rsidP="00851DE4">
            <w:pPr>
              <w:autoSpaceDN w:val="0"/>
              <w:spacing w:after="0" w:line="240" w:lineRule="auto"/>
              <w:contextualSpacing/>
              <w:jc w:val="both"/>
              <w:rPr>
                <w:rFonts w:ascii="Times New Roman" w:hAnsi="Times New Roman" w:cs="Times New Roman"/>
              </w:rPr>
            </w:pPr>
            <w:r w:rsidRPr="00B966C1">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 programinė įranga keičiama saugumo reikalavimus atitinkančia programine įranga.</w:t>
            </w:r>
          </w:p>
        </w:tc>
      </w:tr>
      <w:tr w:rsidR="00851DE4" w:rsidRPr="00114210" w14:paraId="1DDE1AFE" w14:textId="77777777" w:rsidTr="00851DE4">
        <w:trPr>
          <w:trHeight w:val="274"/>
        </w:trPr>
        <w:tc>
          <w:tcPr>
            <w:tcW w:w="1129" w:type="dxa"/>
          </w:tcPr>
          <w:p w14:paraId="718700DD" w14:textId="77777777" w:rsidR="00851DE4" w:rsidRPr="00B966C1" w:rsidRDefault="00851DE4" w:rsidP="00851DE4">
            <w:pPr>
              <w:pStyle w:val="ListParagraph"/>
              <w:numPr>
                <w:ilvl w:val="1"/>
                <w:numId w:val="1"/>
              </w:numPr>
              <w:tabs>
                <w:tab w:val="left" w:pos="750"/>
              </w:tabs>
              <w:spacing w:after="0" w:line="240" w:lineRule="auto"/>
              <w:ind w:hanging="770"/>
              <w:jc w:val="both"/>
              <w:rPr>
                <w:rFonts w:ascii="Times New Roman" w:hAnsi="Times New Roman" w:cs="Times New Roman"/>
                <w:color w:val="000000" w:themeColor="text1"/>
              </w:rPr>
            </w:pPr>
          </w:p>
        </w:tc>
        <w:tc>
          <w:tcPr>
            <w:tcW w:w="8406" w:type="dxa"/>
          </w:tcPr>
          <w:p w14:paraId="63390768" w14:textId="77777777" w:rsidR="00851DE4" w:rsidRPr="00B966C1" w:rsidRDefault="00851DE4" w:rsidP="00851DE4">
            <w:pPr>
              <w:autoSpaceDN w:val="0"/>
              <w:spacing w:after="0" w:line="240" w:lineRule="auto"/>
              <w:contextualSpacing/>
              <w:jc w:val="both"/>
              <w:rPr>
                <w:rFonts w:ascii="Times New Roman" w:eastAsia="Calibri" w:hAnsi="Times New Roman" w:cs="Times New Roman"/>
              </w:rPr>
            </w:pPr>
            <w:r w:rsidRPr="00B966C1">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751B4AC8" w14:textId="77777777" w:rsidR="00851DE4" w:rsidRDefault="00851DE4" w:rsidP="00BB7DE7">
      <w:pPr>
        <w:spacing w:after="0"/>
        <w:jc w:val="center"/>
        <w:rPr>
          <w:rFonts w:ascii="Times New Roman" w:hAnsi="Times New Roman" w:cs="Times New Roman"/>
          <w:b/>
          <w:bCs/>
          <w:color w:val="000000"/>
          <w:sz w:val="24"/>
          <w:szCs w:val="24"/>
        </w:rPr>
      </w:pPr>
    </w:p>
    <w:p w14:paraId="27A08792" w14:textId="5A3C6D6C" w:rsidR="00851DE4" w:rsidRPr="00851DE4" w:rsidRDefault="00851DE4" w:rsidP="00851DE4">
      <w:pPr>
        <w:autoSpaceDE w:val="0"/>
        <w:spacing w:after="0" w:line="240" w:lineRule="auto"/>
        <w:ind w:left="-360" w:firstLine="360"/>
        <w:outlineLvl w:val="0"/>
        <w:rPr>
          <w:rFonts w:ascii="Times New Roman" w:hAnsi="Times New Roman" w:cs="Times New Roman"/>
          <w:sz w:val="24"/>
          <w:szCs w:val="24"/>
        </w:rPr>
      </w:pPr>
      <w:r w:rsidRPr="006F7B7E">
        <w:rPr>
          <w:rFonts w:ascii="Times New Roman" w:hAnsi="Times New Roman" w:cs="Times New Roman"/>
          <w:sz w:val="24"/>
          <w:szCs w:val="24"/>
        </w:rPr>
        <w:t>2 lentelė. Reikalavimai įrangai</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4446"/>
        <w:gridCol w:w="4320"/>
      </w:tblGrid>
      <w:tr w:rsidR="00BB7DE7" w:rsidRPr="00302C90" w14:paraId="369F055A" w14:textId="296D2D2C" w:rsidTr="00BB7DE7">
        <w:trPr>
          <w:trHeight w:val="57"/>
        </w:trPr>
        <w:tc>
          <w:tcPr>
            <w:tcW w:w="1129" w:type="dxa"/>
            <w:noWrap/>
          </w:tcPr>
          <w:p w14:paraId="47E07EA4" w14:textId="2045C45D" w:rsidR="00BB7DE7" w:rsidRPr="00BB7DE7" w:rsidRDefault="00BB7DE7" w:rsidP="00BB7DE7">
            <w:pPr>
              <w:spacing w:after="0" w:line="240" w:lineRule="auto"/>
              <w:rPr>
                <w:rFonts w:ascii="Times New Roman" w:hAnsi="Times New Roman" w:cs="Times New Roman"/>
              </w:rPr>
            </w:pPr>
            <w:r>
              <w:rPr>
                <w:rFonts w:ascii="Times New Roman" w:hAnsi="Times New Roman" w:cs="Times New Roman"/>
              </w:rPr>
              <w:t>Eil. Nr.</w:t>
            </w:r>
          </w:p>
        </w:tc>
        <w:tc>
          <w:tcPr>
            <w:tcW w:w="4446" w:type="dxa"/>
          </w:tcPr>
          <w:p w14:paraId="0A6743C1" w14:textId="1CD7DC08" w:rsidR="00BB7DE7" w:rsidRPr="00325B94" w:rsidRDefault="00BB7DE7" w:rsidP="00BB7DE7">
            <w:pPr>
              <w:keepNext/>
              <w:keepLines/>
              <w:tabs>
                <w:tab w:val="left" w:pos="390"/>
                <w:tab w:val="left" w:pos="1035"/>
                <w:tab w:val="left" w:pos="1500"/>
              </w:tabs>
              <w:spacing w:after="0" w:line="240" w:lineRule="auto"/>
              <w:jc w:val="both"/>
              <w:rPr>
                <w:rFonts w:ascii="Times New Roman" w:hAnsi="Times New Roman" w:cs="Times New Roman"/>
                <w:b/>
                <w:bCs/>
              </w:rPr>
            </w:pPr>
            <w:r w:rsidRPr="00264EBA">
              <w:rPr>
                <w:rFonts w:ascii="Times New Roman" w:hAnsi="Times New Roman" w:cs="Times New Roman"/>
                <w:b/>
                <w:bCs/>
                <w:i/>
                <w:iCs/>
                <w:color w:val="000000"/>
              </w:rPr>
              <w:t>Reikalaujami parametrai</w:t>
            </w:r>
          </w:p>
        </w:tc>
        <w:tc>
          <w:tcPr>
            <w:tcW w:w="4320" w:type="dxa"/>
          </w:tcPr>
          <w:p w14:paraId="2020EF62" w14:textId="77777777" w:rsidR="00BB7DE7" w:rsidRPr="00264EBA" w:rsidRDefault="00BB7DE7" w:rsidP="00BB7DE7">
            <w:pPr>
              <w:keepNext/>
              <w:keepLines/>
              <w:tabs>
                <w:tab w:val="left" w:pos="390"/>
                <w:tab w:val="left" w:pos="1035"/>
                <w:tab w:val="left" w:pos="1500"/>
              </w:tabs>
              <w:spacing w:after="0"/>
              <w:contextualSpacing/>
              <w:jc w:val="center"/>
              <w:rPr>
                <w:rFonts w:ascii="Times New Roman" w:eastAsia="Times New Roman" w:hAnsi="Times New Roman" w:cs="Times New Roman"/>
                <w:b/>
                <w:bCs/>
                <w:i/>
                <w:iCs/>
              </w:rPr>
            </w:pPr>
            <w:r w:rsidRPr="00264EBA">
              <w:rPr>
                <w:rFonts w:ascii="Times New Roman" w:eastAsia="Times New Roman" w:hAnsi="Times New Roman" w:cs="Times New Roman"/>
                <w:b/>
                <w:bCs/>
                <w:i/>
                <w:iCs/>
              </w:rPr>
              <w:t>Siūloma parametro reikšmė</w:t>
            </w:r>
          </w:p>
          <w:p w14:paraId="449FD555" w14:textId="77777777" w:rsidR="002A60C2" w:rsidRPr="002A60C2" w:rsidRDefault="002A60C2" w:rsidP="002A60C2">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2A60C2">
              <w:rPr>
                <w:rFonts w:ascii="Times New Roman" w:eastAsiaTheme="majorEastAsia" w:hAnsi="Times New Roman" w:cs="Times New Roman"/>
                <w:i/>
                <w:color w:val="000000"/>
                <w:shd w:val="clear" w:color="auto" w:fill="FFFFFF"/>
              </w:rPr>
              <w:t xml:space="preserve">ir internetinė nuoroda į gamintojo techninę dokumentaciją, kurioje yra pasiūlymą atitinkančios programinės įrangos techniniai parametrai arba pateikti gamintojo parengtą programinės įrangos aprašymą,  nurodant dokumento puslapį ar konkrečią vietą </w:t>
            </w:r>
            <w:r w:rsidRPr="002A60C2">
              <w:rPr>
                <w:rFonts w:ascii="Times New Roman" w:eastAsiaTheme="majorEastAsia" w:hAnsi="Times New Roman" w:cs="Times New Roman"/>
                <w:i/>
                <w:color w:val="000000"/>
                <w:shd w:val="clear" w:color="auto" w:fill="FFFFFF"/>
              </w:rPr>
              <w:lastRenderedPageBreak/>
              <w:t>dokumente, kurioje aprašytas reikalaujamos charakteristikos atitikimas</w:t>
            </w:r>
          </w:p>
          <w:p w14:paraId="5C6AA91B" w14:textId="607C2981" w:rsidR="00BB7DE7" w:rsidRPr="00325B94" w:rsidRDefault="00BB7DE7" w:rsidP="00BB7DE7">
            <w:pPr>
              <w:keepNext/>
              <w:keepLines/>
              <w:tabs>
                <w:tab w:val="left" w:pos="390"/>
                <w:tab w:val="left" w:pos="1035"/>
                <w:tab w:val="left" w:pos="1500"/>
              </w:tabs>
              <w:spacing w:after="0" w:line="240" w:lineRule="auto"/>
              <w:jc w:val="center"/>
              <w:rPr>
                <w:rFonts w:ascii="Times New Roman" w:hAnsi="Times New Roman" w:cs="Times New Roman"/>
                <w:b/>
                <w:bCs/>
              </w:rPr>
            </w:pPr>
            <w:r w:rsidRPr="00D60F24">
              <w:rPr>
                <w:rFonts w:ascii="Times New Roman" w:hAnsi="Times New Roman" w:cs="Times New Roman"/>
                <w:b/>
                <w:bCs/>
                <w:i/>
                <w:iCs/>
                <w:color w:val="FF0000"/>
              </w:rPr>
              <w:t>Nurodo Tiekėjas</w:t>
            </w:r>
          </w:p>
        </w:tc>
      </w:tr>
      <w:tr w:rsidR="00B966C1" w:rsidRPr="00302C90" w14:paraId="393803A4" w14:textId="567C0E7A" w:rsidTr="004D028C">
        <w:trPr>
          <w:trHeight w:val="57"/>
        </w:trPr>
        <w:tc>
          <w:tcPr>
            <w:tcW w:w="1129" w:type="dxa"/>
            <w:noWrap/>
          </w:tcPr>
          <w:p w14:paraId="3484C733" w14:textId="6476F3FC" w:rsidR="00B966C1" w:rsidRPr="00B966C1" w:rsidRDefault="00B966C1" w:rsidP="00B966C1">
            <w:pPr>
              <w:spacing w:after="0" w:line="240" w:lineRule="auto"/>
              <w:rPr>
                <w:rFonts w:ascii="Times New Roman" w:hAnsi="Times New Roman" w:cs="Times New Roman"/>
              </w:rPr>
            </w:pPr>
            <w:r>
              <w:rPr>
                <w:rFonts w:ascii="Times New Roman" w:hAnsi="Times New Roman" w:cs="Times New Roman"/>
              </w:rPr>
              <w:lastRenderedPageBreak/>
              <w:t>2.</w:t>
            </w:r>
          </w:p>
        </w:tc>
        <w:tc>
          <w:tcPr>
            <w:tcW w:w="8766" w:type="dxa"/>
            <w:gridSpan w:val="2"/>
          </w:tcPr>
          <w:p w14:paraId="70444CE9" w14:textId="374C3952" w:rsidR="00B966C1" w:rsidRPr="00325B94" w:rsidRDefault="00B966C1" w:rsidP="004A3ACE">
            <w:pPr>
              <w:keepNext/>
              <w:keepLines/>
              <w:tabs>
                <w:tab w:val="left" w:pos="390"/>
                <w:tab w:val="left" w:pos="1035"/>
                <w:tab w:val="left" w:pos="1500"/>
              </w:tabs>
              <w:spacing w:after="0" w:line="240" w:lineRule="auto"/>
              <w:jc w:val="both"/>
              <w:rPr>
                <w:rFonts w:ascii="Times New Roman" w:hAnsi="Times New Roman" w:cs="Times New Roman"/>
                <w:b/>
                <w:bCs/>
              </w:rPr>
            </w:pPr>
            <w:r w:rsidRPr="00325B94">
              <w:rPr>
                <w:rFonts w:ascii="Times New Roman" w:hAnsi="Times New Roman" w:cs="Times New Roman"/>
                <w:b/>
                <w:bCs/>
              </w:rPr>
              <w:t>Ugniasienė  (Tipas 2) (44 vnt.)</w:t>
            </w:r>
          </w:p>
        </w:tc>
      </w:tr>
      <w:tr w:rsidR="00B966C1" w:rsidRPr="00302C90" w14:paraId="0942DE15" w14:textId="1AC30471" w:rsidTr="002C5DDB">
        <w:trPr>
          <w:trHeight w:val="57"/>
          <w:hidden/>
        </w:trPr>
        <w:tc>
          <w:tcPr>
            <w:tcW w:w="1129" w:type="dxa"/>
            <w:noWrap/>
          </w:tcPr>
          <w:p w14:paraId="34F06BEB" w14:textId="77777777" w:rsidR="00B966C1" w:rsidRPr="00325B94" w:rsidRDefault="00B966C1" w:rsidP="00B966C1">
            <w:pPr>
              <w:pStyle w:val="ListParagraph"/>
              <w:numPr>
                <w:ilvl w:val="0"/>
                <w:numId w:val="2"/>
              </w:numPr>
              <w:spacing w:after="0" w:line="240" w:lineRule="auto"/>
              <w:rPr>
                <w:rFonts w:ascii="Times New Roman" w:hAnsi="Times New Roman" w:cs="Times New Roman"/>
                <w:vanish/>
              </w:rPr>
            </w:pPr>
          </w:p>
          <w:p w14:paraId="0668D8D6" w14:textId="77777777" w:rsidR="00B966C1" w:rsidRPr="00325B94" w:rsidRDefault="00B966C1" w:rsidP="00B966C1">
            <w:pPr>
              <w:pStyle w:val="ListParagraph"/>
              <w:numPr>
                <w:ilvl w:val="0"/>
                <w:numId w:val="2"/>
              </w:numPr>
              <w:spacing w:after="0" w:line="240" w:lineRule="auto"/>
              <w:rPr>
                <w:rFonts w:ascii="Times New Roman" w:hAnsi="Times New Roman" w:cs="Times New Roman"/>
                <w:vanish/>
              </w:rPr>
            </w:pPr>
          </w:p>
          <w:p w14:paraId="7F5341A3" w14:textId="77777777" w:rsidR="00B966C1" w:rsidRPr="00325B94" w:rsidRDefault="00B966C1" w:rsidP="00B966C1">
            <w:pPr>
              <w:pStyle w:val="ListParagraph"/>
              <w:numPr>
                <w:ilvl w:val="0"/>
                <w:numId w:val="2"/>
              </w:numPr>
              <w:spacing w:after="0" w:line="240" w:lineRule="auto"/>
              <w:rPr>
                <w:rFonts w:ascii="Times New Roman" w:hAnsi="Times New Roman" w:cs="Times New Roman"/>
                <w:vanish/>
              </w:rPr>
            </w:pPr>
          </w:p>
          <w:p w14:paraId="3809F763" w14:textId="77777777" w:rsidR="00B966C1" w:rsidRPr="00325B94" w:rsidRDefault="00B966C1" w:rsidP="00B966C1">
            <w:pPr>
              <w:pStyle w:val="ListParagraph"/>
              <w:numPr>
                <w:ilvl w:val="0"/>
                <w:numId w:val="2"/>
              </w:numPr>
              <w:spacing w:after="0" w:line="240" w:lineRule="auto"/>
              <w:rPr>
                <w:rFonts w:ascii="Times New Roman" w:hAnsi="Times New Roman" w:cs="Times New Roman"/>
                <w:vanish/>
              </w:rPr>
            </w:pPr>
          </w:p>
          <w:p w14:paraId="71645D77" w14:textId="6B23E635" w:rsidR="00B966C1" w:rsidRPr="00B966C1" w:rsidRDefault="00B966C1" w:rsidP="00B966C1">
            <w:pPr>
              <w:spacing w:after="0" w:line="240" w:lineRule="auto"/>
              <w:ind w:left="23"/>
              <w:rPr>
                <w:rFonts w:ascii="Times New Roman" w:hAnsi="Times New Roman" w:cs="Times New Roman"/>
              </w:rPr>
            </w:pPr>
            <w:r>
              <w:rPr>
                <w:rFonts w:ascii="Times New Roman" w:hAnsi="Times New Roman" w:cs="Times New Roman"/>
              </w:rPr>
              <w:t>2.1.</w:t>
            </w:r>
          </w:p>
        </w:tc>
        <w:tc>
          <w:tcPr>
            <w:tcW w:w="8766" w:type="dxa"/>
            <w:gridSpan w:val="2"/>
          </w:tcPr>
          <w:p w14:paraId="468E1A46" w14:textId="60B99DA5" w:rsidR="00B966C1" w:rsidRPr="00325B94" w:rsidRDefault="00B966C1" w:rsidP="004A3ACE">
            <w:pPr>
              <w:keepNext/>
              <w:keepLines/>
              <w:tabs>
                <w:tab w:val="left" w:pos="390"/>
                <w:tab w:val="left" w:pos="1035"/>
                <w:tab w:val="left" w:pos="1500"/>
              </w:tabs>
              <w:spacing w:after="0" w:line="240" w:lineRule="auto"/>
              <w:jc w:val="both"/>
              <w:rPr>
                <w:rFonts w:ascii="Times New Roman" w:hAnsi="Times New Roman" w:cs="Times New Roman"/>
                <w:b/>
                <w:bCs/>
              </w:rPr>
            </w:pPr>
            <w:r w:rsidRPr="00325B94">
              <w:rPr>
                <w:rFonts w:ascii="Times New Roman" w:hAnsi="Times New Roman" w:cs="Times New Roman"/>
                <w:b/>
                <w:bCs/>
              </w:rPr>
              <w:t>Konstrukcija</w:t>
            </w:r>
          </w:p>
        </w:tc>
      </w:tr>
      <w:tr w:rsidR="00BB7DE7" w:rsidRPr="00302C90" w14:paraId="24AB985F" w14:textId="42B9CE60" w:rsidTr="00BB7DE7">
        <w:trPr>
          <w:trHeight w:val="57"/>
        </w:trPr>
        <w:tc>
          <w:tcPr>
            <w:tcW w:w="1129" w:type="dxa"/>
            <w:noWrap/>
          </w:tcPr>
          <w:p w14:paraId="654E7D87" w14:textId="4A6FC333" w:rsidR="00BB7DE7" w:rsidRPr="00B966C1" w:rsidRDefault="00B966C1" w:rsidP="00B966C1">
            <w:pPr>
              <w:spacing w:after="0" w:line="240" w:lineRule="auto"/>
              <w:ind w:left="46"/>
              <w:rPr>
                <w:rFonts w:ascii="Times New Roman" w:hAnsi="Times New Roman" w:cs="Times New Roman"/>
              </w:rPr>
            </w:pPr>
            <w:r>
              <w:rPr>
                <w:rFonts w:ascii="Times New Roman" w:hAnsi="Times New Roman" w:cs="Times New Roman"/>
              </w:rPr>
              <w:t>2.1.1.</w:t>
            </w:r>
          </w:p>
        </w:tc>
        <w:tc>
          <w:tcPr>
            <w:tcW w:w="4446" w:type="dxa"/>
          </w:tcPr>
          <w:p w14:paraId="0F32A333" w14:textId="77777777" w:rsidR="00BB7DE7" w:rsidRPr="00325B94" w:rsidRDefault="00BB7DE7" w:rsidP="004A3ACE">
            <w:pPr>
              <w:spacing w:after="0"/>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rPr>
              <w:t>Specializuotas vieno gamintojo aparatinis – programinis sprendimas  (angl. appliance).</w:t>
            </w:r>
          </w:p>
        </w:tc>
        <w:tc>
          <w:tcPr>
            <w:tcW w:w="4320" w:type="dxa"/>
          </w:tcPr>
          <w:p w14:paraId="6D2F145C" w14:textId="77777777" w:rsidR="00BB7DE7" w:rsidRPr="00325B94" w:rsidRDefault="00BB7DE7" w:rsidP="004A3ACE">
            <w:pPr>
              <w:spacing w:after="0"/>
              <w:jc w:val="both"/>
              <w:rPr>
                <w:rFonts w:ascii="Times New Roman" w:eastAsia="Arial" w:hAnsi="Times New Roman" w:cs="Times New Roman"/>
                <w:color w:val="000000" w:themeColor="text1"/>
              </w:rPr>
            </w:pPr>
          </w:p>
        </w:tc>
      </w:tr>
      <w:tr w:rsidR="00BB7DE7" w:rsidRPr="00302C90" w14:paraId="1B55F7F8" w14:textId="081B75A4" w:rsidTr="00BB7DE7">
        <w:trPr>
          <w:trHeight w:val="57"/>
        </w:trPr>
        <w:tc>
          <w:tcPr>
            <w:tcW w:w="1129" w:type="dxa"/>
            <w:noWrap/>
          </w:tcPr>
          <w:p w14:paraId="66013ADE" w14:textId="70D4D1F3"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2.1.2.</w:t>
            </w:r>
          </w:p>
        </w:tc>
        <w:tc>
          <w:tcPr>
            <w:tcW w:w="4446" w:type="dxa"/>
          </w:tcPr>
          <w:p w14:paraId="583C45FE" w14:textId="77777777" w:rsidR="00BB7DE7" w:rsidRPr="00325B94" w:rsidRDefault="00BB7DE7" w:rsidP="004A3ACE">
            <w:pPr>
              <w:spacing w:after="0"/>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Montuojamas į 19“ komutacinę spintą. Turi būti pateikiamas su visais reikalingais montavimui į 19 colių komutacinę spintą priedais</w:t>
            </w:r>
          </w:p>
        </w:tc>
        <w:tc>
          <w:tcPr>
            <w:tcW w:w="4320" w:type="dxa"/>
          </w:tcPr>
          <w:p w14:paraId="207CB938" w14:textId="77777777" w:rsidR="00BB7DE7" w:rsidRPr="00325B94" w:rsidRDefault="00BB7DE7" w:rsidP="004A3ACE">
            <w:pPr>
              <w:spacing w:after="0"/>
              <w:jc w:val="both"/>
              <w:rPr>
                <w:rFonts w:ascii="Times New Roman" w:eastAsia="Arial" w:hAnsi="Times New Roman" w:cs="Times New Roman"/>
                <w:color w:val="000000" w:themeColor="text1"/>
                <w:kern w:val="2"/>
                <w14:ligatures w14:val="standardContextual"/>
              </w:rPr>
            </w:pPr>
          </w:p>
        </w:tc>
      </w:tr>
      <w:tr w:rsidR="00BB7DE7" w:rsidRPr="00302C90" w14:paraId="556BA2A6" w14:textId="736C0BCC" w:rsidTr="00BB7DE7">
        <w:trPr>
          <w:trHeight w:val="57"/>
        </w:trPr>
        <w:tc>
          <w:tcPr>
            <w:tcW w:w="1129" w:type="dxa"/>
            <w:noWrap/>
          </w:tcPr>
          <w:p w14:paraId="4C169EA3" w14:textId="7392C900" w:rsidR="00BB7DE7" w:rsidRPr="00B966C1" w:rsidRDefault="00B966C1" w:rsidP="00B966C1">
            <w:pPr>
              <w:spacing w:after="0" w:line="240" w:lineRule="auto"/>
              <w:ind w:left="46"/>
              <w:rPr>
                <w:rFonts w:ascii="Times New Roman" w:hAnsi="Times New Roman" w:cs="Times New Roman"/>
              </w:rPr>
            </w:pPr>
            <w:r>
              <w:rPr>
                <w:rFonts w:ascii="Times New Roman" w:hAnsi="Times New Roman" w:cs="Times New Roman"/>
              </w:rPr>
              <w:t>2.1.3</w:t>
            </w:r>
          </w:p>
        </w:tc>
        <w:tc>
          <w:tcPr>
            <w:tcW w:w="4446" w:type="dxa"/>
          </w:tcPr>
          <w:p w14:paraId="1AD0C03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Segoe UI" w:hAnsi="Times New Roman" w:cs="Times New Roman"/>
                <w:color w:val="000000" w:themeColor="text1"/>
              </w:rPr>
              <w:t>Įrangos elektros maitinimas tiekiamas iš AC 230V 50Hz tinklo. Privalo turėti du maitinimo šaltinius, užtikrinančius nepertraukiamą įrenginio veikimą sugedus vienam iš maitinimo šaltinių.</w:t>
            </w:r>
          </w:p>
        </w:tc>
        <w:tc>
          <w:tcPr>
            <w:tcW w:w="4320" w:type="dxa"/>
          </w:tcPr>
          <w:p w14:paraId="130D90F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rPr>
            </w:pPr>
          </w:p>
        </w:tc>
      </w:tr>
      <w:tr w:rsidR="00BB7DE7" w:rsidRPr="00302C90" w14:paraId="13E99798" w14:textId="1FF6D4EF" w:rsidTr="00BB7DE7">
        <w:trPr>
          <w:trHeight w:val="57"/>
        </w:trPr>
        <w:tc>
          <w:tcPr>
            <w:tcW w:w="1129" w:type="dxa"/>
            <w:noWrap/>
          </w:tcPr>
          <w:p w14:paraId="1D4BA6E1" w14:textId="42D6FB55"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2.1.4</w:t>
            </w:r>
          </w:p>
        </w:tc>
        <w:tc>
          <w:tcPr>
            <w:tcW w:w="4446" w:type="dxa"/>
          </w:tcPr>
          <w:p w14:paraId="7A4DC0C7"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Segoe UI" w:hAnsi="Times New Roman" w:cs="Times New Roman"/>
                <w:color w:val="000000" w:themeColor="text1"/>
              </w:rPr>
              <w:t>Siūlomas įrenginys turi turėti ne mažiau kaip 400 GB SSD tipo kietąjį diską skirtą įvykių ir srauto  žurnalams kaupti.</w:t>
            </w:r>
          </w:p>
        </w:tc>
        <w:tc>
          <w:tcPr>
            <w:tcW w:w="4320" w:type="dxa"/>
          </w:tcPr>
          <w:p w14:paraId="5B538C9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rPr>
            </w:pPr>
          </w:p>
        </w:tc>
      </w:tr>
      <w:tr w:rsidR="00BB7DE7" w:rsidRPr="00302C90" w14:paraId="356907C3" w14:textId="10BFE8AA" w:rsidTr="00BB7DE7">
        <w:trPr>
          <w:trHeight w:val="57"/>
        </w:trPr>
        <w:tc>
          <w:tcPr>
            <w:tcW w:w="1129" w:type="dxa"/>
            <w:noWrap/>
          </w:tcPr>
          <w:p w14:paraId="03695B18" w14:textId="07AA2E98"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2.1.5.</w:t>
            </w:r>
          </w:p>
        </w:tc>
        <w:tc>
          <w:tcPr>
            <w:tcW w:w="4446" w:type="dxa"/>
          </w:tcPr>
          <w:p w14:paraId="7BD8560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rPr>
              <w:t>Nemažiau kaip 10 GE RJ-45 Ethernet prievadai.</w:t>
            </w:r>
          </w:p>
        </w:tc>
        <w:tc>
          <w:tcPr>
            <w:tcW w:w="4320" w:type="dxa"/>
          </w:tcPr>
          <w:p w14:paraId="2D4D84A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r w:rsidR="00BB7DE7" w:rsidRPr="00302C90" w14:paraId="1CD43DF3" w14:textId="5423EF8A" w:rsidTr="00BB7DE7">
        <w:trPr>
          <w:trHeight w:val="57"/>
        </w:trPr>
        <w:tc>
          <w:tcPr>
            <w:tcW w:w="1129" w:type="dxa"/>
            <w:noWrap/>
          </w:tcPr>
          <w:p w14:paraId="195B86C1" w14:textId="19870704" w:rsidR="00BB7DE7" w:rsidRPr="00B966C1" w:rsidRDefault="00B966C1" w:rsidP="00B966C1">
            <w:pPr>
              <w:spacing w:after="0" w:line="240" w:lineRule="auto"/>
              <w:ind w:left="46"/>
              <w:rPr>
                <w:rFonts w:ascii="Times New Roman" w:hAnsi="Times New Roman" w:cs="Times New Roman"/>
              </w:rPr>
            </w:pPr>
            <w:r>
              <w:rPr>
                <w:rFonts w:ascii="Times New Roman" w:hAnsi="Times New Roman" w:cs="Times New Roman"/>
              </w:rPr>
              <w:t>2.16.</w:t>
            </w:r>
          </w:p>
        </w:tc>
        <w:tc>
          <w:tcPr>
            <w:tcW w:w="4446" w:type="dxa"/>
          </w:tcPr>
          <w:p w14:paraId="674D5574"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rPr>
              <w:t xml:space="preserve">Nemažiau kaip </w:t>
            </w:r>
            <w:r w:rsidRPr="00325B94">
              <w:rPr>
                <w:rFonts w:ascii="Times New Roman" w:eastAsia="Arial" w:hAnsi="Times New Roman" w:cs="Times New Roman"/>
                <w:color w:val="000000" w:themeColor="text1"/>
                <w:lang w:val="en-US"/>
              </w:rPr>
              <w:t>4 10GE SFP+ Ethernet prievadai</w:t>
            </w:r>
          </w:p>
        </w:tc>
        <w:tc>
          <w:tcPr>
            <w:tcW w:w="4320" w:type="dxa"/>
          </w:tcPr>
          <w:p w14:paraId="01A976D9"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r w:rsidR="00BB7DE7" w:rsidRPr="00302C90" w14:paraId="6F00BDB8" w14:textId="1FAE215C" w:rsidTr="00BB7DE7">
        <w:trPr>
          <w:trHeight w:val="57"/>
        </w:trPr>
        <w:tc>
          <w:tcPr>
            <w:tcW w:w="1129" w:type="dxa"/>
            <w:noWrap/>
          </w:tcPr>
          <w:p w14:paraId="155961F4" w14:textId="6CB20BD0"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2.1.7.</w:t>
            </w:r>
          </w:p>
        </w:tc>
        <w:tc>
          <w:tcPr>
            <w:tcW w:w="4446" w:type="dxa"/>
          </w:tcPr>
          <w:p w14:paraId="210F9CD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rPr>
              <w:t xml:space="preserve">Nemažiau kaip </w:t>
            </w:r>
            <w:r w:rsidRPr="00325B94">
              <w:rPr>
                <w:rFonts w:ascii="Times New Roman" w:eastAsia="Arial" w:hAnsi="Times New Roman" w:cs="Times New Roman"/>
                <w:color w:val="000000" w:themeColor="text1"/>
                <w:lang w:val="en-US"/>
              </w:rPr>
              <w:t>4 GE SFP Ethernet prievadai</w:t>
            </w:r>
          </w:p>
        </w:tc>
        <w:tc>
          <w:tcPr>
            <w:tcW w:w="4320" w:type="dxa"/>
          </w:tcPr>
          <w:p w14:paraId="7642847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r w:rsidR="00BB7DE7" w:rsidRPr="00302C90" w14:paraId="7229F096" w14:textId="265259A1" w:rsidTr="00BB7DE7">
        <w:trPr>
          <w:trHeight w:val="57"/>
        </w:trPr>
        <w:tc>
          <w:tcPr>
            <w:tcW w:w="1129" w:type="dxa"/>
            <w:noWrap/>
          </w:tcPr>
          <w:p w14:paraId="0A7B1EFA" w14:textId="5B2BA79C"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2.1.8</w:t>
            </w:r>
          </w:p>
        </w:tc>
        <w:tc>
          <w:tcPr>
            <w:tcW w:w="4446" w:type="dxa"/>
          </w:tcPr>
          <w:p w14:paraId="30601C49"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rPr>
              <w:t>Ne mažiau kaip vienas RJ-45 prievadas įrangos valdymui per komandinę eilutę.</w:t>
            </w:r>
          </w:p>
        </w:tc>
        <w:tc>
          <w:tcPr>
            <w:tcW w:w="4320" w:type="dxa"/>
          </w:tcPr>
          <w:p w14:paraId="4045465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r w:rsidR="00BB7DE7" w:rsidRPr="00302C90" w14:paraId="3959ABA8" w14:textId="03F7CFEA" w:rsidTr="00BB7DE7">
        <w:trPr>
          <w:trHeight w:val="57"/>
        </w:trPr>
        <w:tc>
          <w:tcPr>
            <w:tcW w:w="1129" w:type="dxa"/>
            <w:noWrap/>
          </w:tcPr>
          <w:p w14:paraId="4DFFA30D" w14:textId="3BC8439E"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2.1.9.</w:t>
            </w:r>
          </w:p>
        </w:tc>
        <w:tc>
          <w:tcPr>
            <w:tcW w:w="4446" w:type="dxa"/>
          </w:tcPr>
          <w:p w14:paraId="631F0D9A"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r w:rsidRPr="00325B94">
              <w:rPr>
                <w:rFonts w:ascii="Times New Roman" w:eastAsia="Arial" w:hAnsi="Times New Roman" w:cs="Times New Roman"/>
                <w:color w:val="000000" w:themeColor="text1"/>
              </w:rPr>
              <w:t>Ne mažiau kaip du RJ-45 prievadai įrangos jungimui į aukšto patikimumo sistemą.</w:t>
            </w:r>
          </w:p>
        </w:tc>
        <w:tc>
          <w:tcPr>
            <w:tcW w:w="4320" w:type="dxa"/>
          </w:tcPr>
          <w:p w14:paraId="54EFE9FF"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r w:rsidR="00BB7DE7" w:rsidRPr="00302C90" w14:paraId="3945E2B5" w14:textId="71C18C85" w:rsidTr="00BB7DE7">
        <w:trPr>
          <w:trHeight w:val="57"/>
        </w:trPr>
        <w:tc>
          <w:tcPr>
            <w:tcW w:w="1129" w:type="dxa"/>
            <w:noWrap/>
          </w:tcPr>
          <w:p w14:paraId="401B1649" w14:textId="1034F9A6"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2.1.10.</w:t>
            </w:r>
          </w:p>
        </w:tc>
        <w:tc>
          <w:tcPr>
            <w:tcW w:w="4446" w:type="dxa"/>
          </w:tcPr>
          <w:p w14:paraId="6A32C89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r w:rsidRPr="00325B94">
              <w:rPr>
                <w:rFonts w:ascii="Times New Roman" w:eastAsia="Arial" w:hAnsi="Times New Roman" w:cs="Times New Roman"/>
                <w:color w:val="000000" w:themeColor="text1"/>
              </w:rPr>
              <w:t>Visi tinklo prievadai fiziškai turi būti realizuoti viename įrenginyje nenaudojant papildomų išorinių įrenginių (pvz. komutatoriai, kontroleriai, srautų balansavimo įranga ir pan.)</w:t>
            </w:r>
          </w:p>
        </w:tc>
        <w:tc>
          <w:tcPr>
            <w:tcW w:w="4320" w:type="dxa"/>
          </w:tcPr>
          <w:p w14:paraId="2938D084"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r w:rsidR="00BB7DE7" w:rsidRPr="00302C90" w14:paraId="2FC96BEA" w14:textId="203F9250" w:rsidTr="00BB7DE7">
        <w:trPr>
          <w:trHeight w:val="57"/>
        </w:trPr>
        <w:tc>
          <w:tcPr>
            <w:tcW w:w="1129" w:type="dxa"/>
            <w:noWrap/>
          </w:tcPr>
          <w:p w14:paraId="491706C8" w14:textId="16B53CA6"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2.1.11.</w:t>
            </w:r>
          </w:p>
        </w:tc>
        <w:tc>
          <w:tcPr>
            <w:tcW w:w="4446" w:type="dxa"/>
          </w:tcPr>
          <w:p w14:paraId="136BF60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r w:rsidRPr="00325B94">
              <w:rPr>
                <w:rFonts w:ascii="Times New Roman" w:eastAsia="Segoe UI" w:hAnsi="Times New Roman" w:cs="Times New Roman"/>
                <w:color w:val="000000" w:themeColor="text1"/>
              </w:rPr>
              <w:t>Įranga turi būti pateikta su visomis Įrangos diegimui reikalingomis medžiagomis/detalėmis.</w:t>
            </w:r>
          </w:p>
        </w:tc>
        <w:tc>
          <w:tcPr>
            <w:tcW w:w="4320" w:type="dxa"/>
          </w:tcPr>
          <w:p w14:paraId="41DCC60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rPr>
            </w:pPr>
          </w:p>
        </w:tc>
      </w:tr>
      <w:tr w:rsidR="00BB7DE7" w:rsidRPr="00302C90" w14:paraId="071E07BA" w14:textId="41929F52" w:rsidTr="00BB7DE7">
        <w:trPr>
          <w:trHeight w:val="57"/>
        </w:trPr>
        <w:tc>
          <w:tcPr>
            <w:tcW w:w="1129" w:type="dxa"/>
            <w:noWrap/>
          </w:tcPr>
          <w:p w14:paraId="5D3DCAE5" w14:textId="4D2536BC" w:rsidR="00BB7DE7" w:rsidRPr="00B966C1" w:rsidRDefault="00B966C1" w:rsidP="00B966C1">
            <w:pPr>
              <w:spacing w:after="0" w:line="240" w:lineRule="auto"/>
              <w:rPr>
                <w:rFonts w:ascii="Times New Roman" w:hAnsi="Times New Roman" w:cs="Times New Roman"/>
              </w:rPr>
            </w:pPr>
            <w:r w:rsidRPr="00B966C1">
              <w:rPr>
                <w:rFonts w:ascii="Times New Roman" w:hAnsi="Times New Roman" w:cs="Times New Roman"/>
              </w:rPr>
              <w:t>2.1.12</w:t>
            </w:r>
          </w:p>
        </w:tc>
        <w:tc>
          <w:tcPr>
            <w:tcW w:w="4446" w:type="dxa"/>
          </w:tcPr>
          <w:p w14:paraId="269D99B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r w:rsidRPr="00325B94">
              <w:rPr>
                <w:rFonts w:ascii="Times New Roman" w:eastAsia="Segoe UI" w:hAnsi="Times New Roman" w:cs="Times New Roman"/>
                <w:color w:val="000000" w:themeColor="text1"/>
              </w:rPr>
              <w:t>Įranga turi turėti galimybę dirbti Aktyvus/Pasyvus (angl. Active/Passive) ir Aktyvus/Aktyvus (angl. Active/Active) režimais. Sutrikus aktyvaus įrenginio veikimui aukšto patikimumo sistema automatiškai persijungia į dubliuojantį įrenginį.</w:t>
            </w:r>
          </w:p>
        </w:tc>
        <w:tc>
          <w:tcPr>
            <w:tcW w:w="4320" w:type="dxa"/>
          </w:tcPr>
          <w:p w14:paraId="30F6D6D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rPr>
            </w:pPr>
          </w:p>
        </w:tc>
      </w:tr>
      <w:tr w:rsidR="00895C38" w:rsidRPr="00302C90" w14:paraId="4FE0D797" w14:textId="19FA69F7" w:rsidTr="000E5467">
        <w:trPr>
          <w:trHeight w:val="57"/>
        </w:trPr>
        <w:tc>
          <w:tcPr>
            <w:tcW w:w="1129" w:type="dxa"/>
            <w:noWrap/>
          </w:tcPr>
          <w:p w14:paraId="261B17AE" w14:textId="488F31F4" w:rsidR="00895C38" w:rsidRPr="00B966C1" w:rsidRDefault="00895C38" w:rsidP="00B966C1">
            <w:pPr>
              <w:spacing w:after="0" w:line="240" w:lineRule="auto"/>
              <w:ind w:left="23"/>
              <w:rPr>
                <w:rFonts w:ascii="Times New Roman" w:hAnsi="Times New Roman" w:cs="Times New Roman"/>
              </w:rPr>
            </w:pPr>
            <w:r>
              <w:rPr>
                <w:rFonts w:ascii="Times New Roman" w:hAnsi="Times New Roman" w:cs="Times New Roman"/>
              </w:rPr>
              <w:t>2.2.</w:t>
            </w:r>
          </w:p>
        </w:tc>
        <w:tc>
          <w:tcPr>
            <w:tcW w:w="8766" w:type="dxa"/>
            <w:gridSpan w:val="2"/>
          </w:tcPr>
          <w:p w14:paraId="36BFDC48" w14:textId="64C2805C" w:rsidR="00895C38" w:rsidRPr="00325B94" w:rsidRDefault="00895C38" w:rsidP="004A3ACE">
            <w:pPr>
              <w:keepNext/>
              <w:keepLines/>
              <w:tabs>
                <w:tab w:val="left" w:pos="390"/>
                <w:tab w:val="left" w:pos="1035"/>
                <w:tab w:val="left" w:pos="1500"/>
              </w:tabs>
              <w:spacing w:after="0" w:line="240" w:lineRule="auto"/>
              <w:jc w:val="both"/>
              <w:rPr>
                <w:rFonts w:ascii="Times New Roman" w:hAnsi="Times New Roman" w:cs="Times New Roman"/>
                <w:b/>
              </w:rPr>
            </w:pPr>
            <w:r w:rsidRPr="00325B94">
              <w:rPr>
                <w:rFonts w:ascii="Times New Roman" w:hAnsi="Times New Roman" w:cs="Times New Roman"/>
                <w:b/>
              </w:rPr>
              <w:t>Funkcijos</w:t>
            </w:r>
          </w:p>
        </w:tc>
      </w:tr>
      <w:tr w:rsidR="00BB7DE7" w:rsidRPr="00302C90" w14:paraId="7CBB5F37" w14:textId="4AF140FD" w:rsidTr="00BB7DE7">
        <w:trPr>
          <w:trHeight w:val="57"/>
        </w:trPr>
        <w:tc>
          <w:tcPr>
            <w:tcW w:w="1129" w:type="dxa"/>
            <w:noWrap/>
          </w:tcPr>
          <w:p w14:paraId="7FBB9099" w14:textId="5D752159" w:rsidR="00BB7DE7" w:rsidRPr="00B966C1" w:rsidRDefault="00CC2B54" w:rsidP="00B966C1">
            <w:pPr>
              <w:spacing w:after="0" w:line="240" w:lineRule="auto"/>
              <w:rPr>
                <w:rFonts w:ascii="Times New Roman" w:hAnsi="Times New Roman" w:cs="Times New Roman"/>
              </w:rPr>
            </w:pPr>
            <w:r>
              <w:rPr>
                <w:rFonts w:ascii="Times New Roman" w:hAnsi="Times New Roman" w:cs="Times New Roman"/>
              </w:rPr>
              <w:t>2.2</w:t>
            </w:r>
            <w:r w:rsidR="00B966C1" w:rsidRPr="00B966C1">
              <w:rPr>
                <w:rFonts w:ascii="Times New Roman" w:hAnsi="Times New Roman" w:cs="Times New Roman"/>
              </w:rPr>
              <w:t>.1.</w:t>
            </w:r>
          </w:p>
        </w:tc>
        <w:tc>
          <w:tcPr>
            <w:tcW w:w="4446" w:type="dxa"/>
          </w:tcPr>
          <w:p w14:paraId="59A7282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kern w:val="2"/>
                <w14:ligatures w14:val="standardContextual"/>
              </w:rPr>
              <w:t>Turi būti ne mažiau kaip 1500 IPsec VPN tunelių palaikymas</w:t>
            </w:r>
          </w:p>
        </w:tc>
        <w:tc>
          <w:tcPr>
            <w:tcW w:w="4320" w:type="dxa"/>
          </w:tcPr>
          <w:p w14:paraId="24570014"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1C64DD4E" w14:textId="7C72F469" w:rsidTr="00BB7DE7">
        <w:trPr>
          <w:trHeight w:val="57"/>
        </w:trPr>
        <w:tc>
          <w:tcPr>
            <w:tcW w:w="1129" w:type="dxa"/>
            <w:noWrap/>
          </w:tcPr>
          <w:p w14:paraId="3B40AA08" w14:textId="53691BDC" w:rsidR="00BB7DE7" w:rsidRPr="00B966C1" w:rsidRDefault="00CC2B54"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w:t>
            </w:r>
          </w:p>
        </w:tc>
        <w:tc>
          <w:tcPr>
            <w:tcW w:w="4446" w:type="dxa"/>
          </w:tcPr>
          <w:p w14:paraId="3AC7C1D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kern w:val="2"/>
                <w14:ligatures w14:val="standardContextual"/>
              </w:rPr>
              <w:t>Turi būti galimybė vienam iš HA įrenginių pakeisti HA statusą (padaryti aktyviu arba pasyviu klasterio  elementu )</w:t>
            </w:r>
          </w:p>
        </w:tc>
        <w:tc>
          <w:tcPr>
            <w:tcW w:w="4320" w:type="dxa"/>
          </w:tcPr>
          <w:p w14:paraId="6117655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2CF23E2A" w14:textId="4DC876B4" w:rsidTr="00BB7DE7">
        <w:trPr>
          <w:trHeight w:val="57"/>
        </w:trPr>
        <w:tc>
          <w:tcPr>
            <w:tcW w:w="1129" w:type="dxa"/>
            <w:noWrap/>
          </w:tcPr>
          <w:p w14:paraId="648ABEA5" w14:textId="3AA8002A" w:rsidR="00BB7DE7" w:rsidRPr="00B966C1" w:rsidRDefault="00CC2B54"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w:t>
            </w:r>
          </w:p>
        </w:tc>
        <w:tc>
          <w:tcPr>
            <w:tcW w:w="4446" w:type="dxa"/>
          </w:tcPr>
          <w:p w14:paraId="39C09A7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kern w:val="2"/>
                <w14:ligatures w14:val="standardContextual"/>
              </w:rPr>
              <w:t>Turi būti galimybė atlikti programinės įrangos atnaujinimą, nesutrikdant ugniasienės, veikiančios HA režimu, duomenų perdavimo.</w:t>
            </w:r>
          </w:p>
        </w:tc>
        <w:tc>
          <w:tcPr>
            <w:tcW w:w="4320" w:type="dxa"/>
          </w:tcPr>
          <w:p w14:paraId="1E7EC47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D18E54C" w14:textId="105A4DDE" w:rsidTr="00BB7DE7">
        <w:trPr>
          <w:trHeight w:val="57"/>
        </w:trPr>
        <w:tc>
          <w:tcPr>
            <w:tcW w:w="1129" w:type="dxa"/>
            <w:noWrap/>
          </w:tcPr>
          <w:p w14:paraId="6447ABEB" w14:textId="064787A2" w:rsidR="00BB7DE7" w:rsidRPr="00B966C1" w:rsidRDefault="000F4629"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.4.</w:t>
            </w:r>
          </w:p>
        </w:tc>
        <w:tc>
          <w:tcPr>
            <w:tcW w:w="4446" w:type="dxa"/>
          </w:tcPr>
          <w:p w14:paraId="2C9B4E5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kern w:val="2"/>
                <w14:ligatures w14:val="standardContextual"/>
              </w:rPr>
              <w:t>Turi palaikyti IPSec arba lygiaverčių standartų palaikymas;</w:t>
            </w:r>
          </w:p>
        </w:tc>
        <w:tc>
          <w:tcPr>
            <w:tcW w:w="4320" w:type="dxa"/>
          </w:tcPr>
          <w:p w14:paraId="736A011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15BE971F" w14:textId="57818C49" w:rsidTr="00BB7DE7">
        <w:trPr>
          <w:trHeight w:val="57"/>
        </w:trPr>
        <w:tc>
          <w:tcPr>
            <w:tcW w:w="1129" w:type="dxa"/>
            <w:noWrap/>
          </w:tcPr>
          <w:p w14:paraId="1F218D52" w14:textId="4B23E1BD" w:rsidR="00BB7DE7" w:rsidRPr="00B966C1" w:rsidRDefault="000F4629" w:rsidP="00B966C1">
            <w:pPr>
              <w:spacing w:after="0" w:line="240" w:lineRule="auto"/>
              <w:rPr>
                <w:rFonts w:ascii="Times New Roman" w:hAnsi="Times New Roman" w:cs="Times New Roman"/>
              </w:rPr>
            </w:pPr>
            <w:r>
              <w:rPr>
                <w:rFonts w:ascii="Times New Roman" w:hAnsi="Times New Roman" w:cs="Times New Roman"/>
              </w:rPr>
              <w:lastRenderedPageBreak/>
              <w:t>2.2.</w:t>
            </w:r>
            <w:r w:rsidR="00B966C1">
              <w:rPr>
                <w:rFonts w:ascii="Times New Roman" w:hAnsi="Times New Roman" w:cs="Times New Roman"/>
              </w:rPr>
              <w:t>.5.</w:t>
            </w:r>
          </w:p>
        </w:tc>
        <w:tc>
          <w:tcPr>
            <w:tcW w:w="4446" w:type="dxa"/>
          </w:tcPr>
          <w:p w14:paraId="65374E2A"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kern w:val="2"/>
                <w14:ligatures w14:val="standardContextual"/>
              </w:rPr>
              <w:t>Turi būti ne mažiau kaip 1</w:t>
            </w:r>
            <w:r w:rsidRPr="002A60C2">
              <w:rPr>
                <w:rFonts w:ascii="Times New Roman" w:eastAsia="Arial" w:hAnsi="Times New Roman" w:cs="Times New Roman"/>
                <w:color w:val="000000" w:themeColor="text1"/>
                <w:kern w:val="2"/>
                <w14:ligatures w14:val="standardContextual"/>
              </w:rPr>
              <w:t>2</w:t>
            </w:r>
            <w:r w:rsidRPr="00325B94">
              <w:rPr>
                <w:rFonts w:ascii="Times New Roman" w:eastAsia="Arial" w:hAnsi="Times New Roman" w:cs="Times New Roman"/>
                <w:color w:val="000000" w:themeColor="text1"/>
                <w:kern w:val="2"/>
                <w14:ligatures w14:val="standardContextual"/>
              </w:rPr>
              <w:t xml:space="preserve"> 000 IPsec vidinio tinklo vartotojų skaičius</w:t>
            </w:r>
          </w:p>
        </w:tc>
        <w:tc>
          <w:tcPr>
            <w:tcW w:w="4320" w:type="dxa"/>
          </w:tcPr>
          <w:p w14:paraId="1FEFA57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062956ED" w14:textId="761398F6" w:rsidTr="00BB7DE7">
        <w:trPr>
          <w:trHeight w:val="57"/>
        </w:trPr>
        <w:tc>
          <w:tcPr>
            <w:tcW w:w="1129" w:type="dxa"/>
            <w:noWrap/>
          </w:tcPr>
          <w:p w14:paraId="4BB84F63" w14:textId="602EE5FF" w:rsidR="00BB7DE7" w:rsidRPr="00B966C1" w:rsidRDefault="000F4629"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.6.</w:t>
            </w:r>
          </w:p>
        </w:tc>
        <w:tc>
          <w:tcPr>
            <w:tcW w:w="4446" w:type="dxa"/>
          </w:tcPr>
          <w:p w14:paraId="78CA5B9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kern w:val="2"/>
                <w14:ligatures w14:val="standardContextual"/>
              </w:rPr>
              <w:t>Turi būti ne mažiau kaip 2 500 000 sesijų vienu metu ir  nemažiau kaip 100 000 naujų sesijų per sek.</w:t>
            </w:r>
          </w:p>
        </w:tc>
        <w:tc>
          <w:tcPr>
            <w:tcW w:w="4320" w:type="dxa"/>
          </w:tcPr>
          <w:p w14:paraId="68E00B6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1C4BEB63" w14:textId="407985EB" w:rsidTr="00BB7DE7">
        <w:trPr>
          <w:trHeight w:val="57"/>
        </w:trPr>
        <w:tc>
          <w:tcPr>
            <w:tcW w:w="1129" w:type="dxa"/>
            <w:noWrap/>
          </w:tcPr>
          <w:p w14:paraId="7AF88142" w14:textId="1310BE61" w:rsidR="00BB7DE7" w:rsidRPr="00B966C1" w:rsidRDefault="000F4629"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7.</w:t>
            </w:r>
          </w:p>
        </w:tc>
        <w:tc>
          <w:tcPr>
            <w:tcW w:w="4446" w:type="dxa"/>
          </w:tcPr>
          <w:p w14:paraId="2A83C5E7"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Ugniasienės pralaidumas su IPS saugumo funkcionalumu turi būti ne mažesnis kaip 5 Gbps (imix paketais);</w:t>
            </w:r>
          </w:p>
        </w:tc>
        <w:tc>
          <w:tcPr>
            <w:tcW w:w="4320" w:type="dxa"/>
          </w:tcPr>
          <w:p w14:paraId="11134EBB"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0D8C27E8" w14:textId="7148E1EF" w:rsidTr="00BB7DE7">
        <w:trPr>
          <w:trHeight w:val="57"/>
        </w:trPr>
        <w:tc>
          <w:tcPr>
            <w:tcW w:w="1129" w:type="dxa"/>
            <w:noWrap/>
          </w:tcPr>
          <w:p w14:paraId="2791FED9" w14:textId="6D262672"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8.</w:t>
            </w:r>
          </w:p>
        </w:tc>
        <w:tc>
          <w:tcPr>
            <w:tcW w:w="4446" w:type="dxa"/>
          </w:tcPr>
          <w:p w14:paraId="26EA820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Ugniasienės pralaidumas su saugumo funkcionalumu (IPS, Antivirus, malware apsauga) vienu metu  turi būti ne mažesnis kaip 2,8 Gbps;</w:t>
            </w:r>
          </w:p>
        </w:tc>
        <w:tc>
          <w:tcPr>
            <w:tcW w:w="4320" w:type="dxa"/>
          </w:tcPr>
          <w:p w14:paraId="14107AD9"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636146A4" w14:textId="2F30AFB8" w:rsidTr="00BB7DE7">
        <w:trPr>
          <w:trHeight w:val="57"/>
        </w:trPr>
        <w:tc>
          <w:tcPr>
            <w:tcW w:w="1129" w:type="dxa"/>
            <w:noWrap/>
          </w:tcPr>
          <w:p w14:paraId="54E3BA6F" w14:textId="4BE20951"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.9.</w:t>
            </w:r>
          </w:p>
        </w:tc>
        <w:tc>
          <w:tcPr>
            <w:tcW w:w="4446" w:type="dxa"/>
          </w:tcPr>
          <w:p w14:paraId="3F74154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Ugniasienės pralaidumas su aplikacijų kontrole (HTTP ar lygiaverčiam sraute) turi būti ne mažesnis kaip 6 Gbps;</w:t>
            </w:r>
          </w:p>
        </w:tc>
        <w:tc>
          <w:tcPr>
            <w:tcW w:w="4320" w:type="dxa"/>
          </w:tcPr>
          <w:p w14:paraId="79D2052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14:paraId="5FB6B10A" w14:textId="290AB0B1" w:rsidTr="00BB7DE7">
        <w:trPr>
          <w:trHeight w:val="57"/>
        </w:trPr>
        <w:tc>
          <w:tcPr>
            <w:tcW w:w="1129" w:type="dxa"/>
            <w:noWrap/>
          </w:tcPr>
          <w:p w14:paraId="25DFF977" w14:textId="543323BF"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10.</w:t>
            </w:r>
          </w:p>
        </w:tc>
        <w:tc>
          <w:tcPr>
            <w:tcW w:w="4446" w:type="dxa"/>
          </w:tcPr>
          <w:p w14:paraId="1C7215B0"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Ugniasienės pralaidumas dešifruoto srauto su pažeidžiamumų (IPS) kontrole turi būti ne mažesnis kaip 3 Gbps</w:t>
            </w:r>
          </w:p>
        </w:tc>
        <w:tc>
          <w:tcPr>
            <w:tcW w:w="4320" w:type="dxa"/>
          </w:tcPr>
          <w:p w14:paraId="1A29496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08A5788D" w14:textId="346FBA0E" w:rsidTr="00BB7DE7">
        <w:trPr>
          <w:trHeight w:val="57"/>
        </w:trPr>
        <w:tc>
          <w:tcPr>
            <w:tcW w:w="1129" w:type="dxa"/>
            <w:noWrap/>
          </w:tcPr>
          <w:p w14:paraId="7EB2BDFF" w14:textId="6F08879D"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11.</w:t>
            </w:r>
          </w:p>
        </w:tc>
        <w:tc>
          <w:tcPr>
            <w:tcW w:w="4446" w:type="dxa"/>
          </w:tcPr>
          <w:p w14:paraId="2A2FD90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būti ne mažiau kaip 5 000 saugumo taisyklių (angl. Security policy);</w:t>
            </w:r>
          </w:p>
        </w:tc>
        <w:tc>
          <w:tcPr>
            <w:tcW w:w="4320" w:type="dxa"/>
          </w:tcPr>
          <w:p w14:paraId="3D4180E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07ACFFA6" w14:textId="318C1148" w:rsidTr="00BB7DE7">
        <w:trPr>
          <w:trHeight w:val="57"/>
        </w:trPr>
        <w:tc>
          <w:tcPr>
            <w:tcW w:w="1129" w:type="dxa"/>
            <w:noWrap/>
          </w:tcPr>
          <w:p w14:paraId="4F0E63A2" w14:textId="5CB3C0DD"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12.</w:t>
            </w:r>
          </w:p>
        </w:tc>
        <w:tc>
          <w:tcPr>
            <w:tcW w:w="4446" w:type="dxa"/>
          </w:tcPr>
          <w:p w14:paraId="7611105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būti galima padalinti į ne mažiau kaip 3 virtualias sistemas (virtualios ugniasienės). Turi būti pateiktos visos reikalingos licencijos.</w:t>
            </w:r>
          </w:p>
        </w:tc>
        <w:tc>
          <w:tcPr>
            <w:tcW w:w="4320" w:type="dxa"/>
          </w:tcPr>
          <w:p w14:paraId="657FC14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41DE6B0A" w14:textId="2E86BE13" w:rsidTr="00BB7DE7">
        <w:trPr>
          <w:trHeight w:val="57"/>
        </w:trPr>
        <w:tc>
          <w:tcPr>
            <w:tcW w:w="1129" w:type="dxa"/>
            <w:noWrap/>
          </w:tcPr>
          <w:p w14:paraId="12D84A91" w14:textId="196DF4A0"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13.</w:t>
            </w:r>
          </w:p>
        </w:tc>
        <w:tc>
          <w:tcPr>
            <w:tcW w:w="4446" w:type="dxa"/>
          </w:tcPr>
          <w:p w14:paraId="0EB14630"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Kiekviena virtuali sistema (virtuali ugniasienė) turi palaikyti ne mažiau kaip 10 virtualių maršrutizatorių (VRF).</w:t>
            </w:r>
          </w:p>
        </w:tc>
        <w:tc>
          <w:tcPr>
            <w:tcW w:w="4320" w:type="dxa"/>
          </w:tcPr>
          <w:p w14:paraId="0236BC44"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27306" w14:paraId="0A2EAA47" w14:textId="693017D5" w:rsidTr="00BB7DE7">
        <w:trPr>
          <w:trHeight w:val="57"/>
        </w:trPr>
        <w:tc>
          <w:tcPr>
            <w:tcW w:w="1129" w:type="dxa"/>
            <w:noWrap/>
          </w:tcPr>
          <w:p w14:paraId="0CBD430A" w14:textId="75CFA039" w:rsidR="00BB7DE7" w:rsidRPr="00B966C1" w:rsidRDefault="00C00EA2"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14.</w:t>
            </w:r>
          </w:p>
        </w:tc>
        <w:tc>
          <w:tcPr>
            <w:tcW w:w="4446" w:type="dxa"/>
          </w:tcPr>
          <w:p w14:paraId="53C1996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Visi išvardinti ugniasienės funkcionalumai turi būti palaikomi kiekvienoje iš virtualių sistemų atskirai:</w:t>
            </w:r>
          </w:p>
          <w:p w14:paraId="45268B76"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Ugniasienės funkcionalumas</w:t>
            </w:r>
          </w:p>
          <w:p w14:paraId="72C10A8D"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IPS/IDS</w:t>
            </w:r>
          </w:p>
          <w:p w14:paraId="72BEB782"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Antivirusinė patikra</w:t>
            </w:r>
          </w:p>
          <w:p w14:paraId="1992F2D6"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Aplikacijų atpažinimas</w:t>
            </w:r>
          </w:p>
          <w:p w14:paraId="357AB1EB"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Srauto prioritizavimas (angl. QoS). Galimybė nustatyti garantuotą srauto pralaidumą aplikacijoms.</w:t>
            </w:r>
          </w:p>
          <w:p w14:paraId="3F08445C"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Adresų transliavimas įskaitant NAT64 ir NAT46.</w:t>
            </w:r>
          </w:p>
          <w:p w14:paraId="3B335BE8"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veikti kaip DHCP klientas</w:t>
            </w:r>
          </w:p>
          <w:p w14:paraId="3C59AEFE"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veikti kaip DHCP serveris</w:t>
            </w:r>
          </w:p>
          <w:p w14:paraId="579B2CB3"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HTTPS dešifravimas ir patikra</w:t>
            </w:r>
          </w:p>
          <w:p w14:paraId="770EB47A" w14:textId="77777777" w:rsidR="00BB7DE7" w:rsidRPr="00325B94" w:rsidRDefault="00BB7DE7" w:rsidP="00325B94">
            <w:pPr>
              <w:pStyle w:val="ListParagraph"/>
              <w:keepNext/>
              <w:keepLines/>
              <w:numPr>
                <w:ilvl w:val="0"/>
                <w:numId w:val="4"/>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VPN IPsec  ir SSL</w:t>
            </w:r>
          </w:p>
        </w:tc>
        <w:tc>
          <w:tcPr>
            <w:tcW w:w="4320" w:type="dxa"/>
          </w:tcPr>
          <w:p w14:paraId="750F3A7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05A64E07" w14:textId="212243AA" w:rsidTr="00BB7DE7">
        <w:trPr>
          <w:trHeight w:val="57"/>
        </w:trPr>
        <w:tc>
          <w:tcPr>
            <w:tcW w:w="1129" w:type="dxa"/>
            <w:noWrap/>
          </w:tcPr>
          <w:p w14:paraId="3B47264F" w14:textId="74F0CB75"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15.</w:t>
            </w:r>
          </w:p>
        </w:tc>
        <w:tc>
          <w:tcPr>
            <w:tcW w:w="4446" w:type="dxa"/>
          </w:tcPr>
          <w:p w14:paraId="3395673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palaikyti ne mažiau kaip 300 000 šifruoto srauto sesijų.</w:t>
            </w:r>
          </w:p>
        </w:tc>
        <w:tc>
          <w:tcPr>
            <w:tcW w:w="4320" w:type="dxa"/>
          </w:tcPr>
          <w:p w14:paraId="3A8A979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C247F9A" w14:textId="528D8529" w:rsidTr="00BB7DE7">
        <w:trPr>
          <w:trHeight w:val="57"/>
        </w:trPr>
        <w:tc>
          <w:tcPr>
            <w:tcW w:w="1129" w:type="dxa"/>
            <w:noWrap/>
          </w:tcPr>
          <w:p w14:paraId="580C253A" w14:textId="0BADBCEF"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.16.</w:t>
            </w:r>
          </w:p>
        </w:tc>
        <w:tc>
          <w:tcPr>
            <w:tcW w:w="4446" w:type="dxa"/>
          </w:tcPr>
          <w:p w14:paraId="64FD153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IPv6 palaikymas.</w:t>
            </w:r>
          </w:p>
        </w:tc>
        <w:tc>
          <w:tcPr>
            <w:tcW w:w="4320" w:type="dxa"/>
          </w:tcPr>
          <w:p w14:paraId="1A3A54C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663511CA" w14:textId="4C88A7DB" w:rsidTr="00BB7DE7">
        <w:trPr>
          <w:trHeight w:val="57"/>
        </w:trPr>
        <w:tc>
          <w:tcPr>
            <w:tcW w:w="1129" w:type="dxa"/>
            <w:noWrap/>
          </w:tcPr>
          <w:p w14:paraId="7F402ADB" w14:textId="6481CBBF"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17.</w:t>
            </w:r>
          </w:p>
        </w:tc>
        <w:tc>
          <w:tcPr>
            <w:tcW w:w="4446" w:type="dxa"/>
          </w:tcPr>
          <w:p w14:paraId="5BB913AF"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DES, 3DES, ir AES256 šifravimas.</w:t>
            </w:r>
          </w:p>
        </w:tc>
        <w:tc>
          <w:tcPr>
            <w:tcW w:w="4320" w:type="dxa"/>
          </w:tcPr>
          <w:p w14:paraId="319C68E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1B38AEF0" w14:textId="533D68AF" w:rsidTr="00BB7DE7">
        <w:trPr>
          <w:trHeight w:val="57"/>
        </w:trPr>
        <w:tc>
          <w:tcPr>
            <w:tcW w:w="1129" w:type="dxa"/>
            <w:noWrap/>
          </w:tcPr>
          <w:p w14:paraId="1CF85DD5" w14:textId="0A500DA1"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18.</w:t>
            </w:r>
          </w:p>
        </w:tc>
        <w:tc>
          <w:tcPr>
            <w:tcW w:w="4446" w:type="dxa"/>
          </w:tcPr>
          <w:p w14:paraId="7F3479F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 xml:space="preserve">Turi būti IKE sertifikato palaikymas (X.509);            </w:t>
            </w:r>
          </w:p>
        </w:tc>
        <w:tc>
          <w:tcPr>
            <w:tcW w:w="4320" w:type="dxa"/>
          </w:tcPr>
          <w:p w14:paraId="75E5D50B"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44D1CCCA" w14:textId="6F1F934E" w:rsidTr="00BB7DE7">
        <w:trPr>
          <w:trHeight w:val="57"/>
        </w:trPr>
        <w:tc>
          <w:tcPr>
            <w:tcW w:w="1129" w:type="dxa"/>
            <w:noWrap/>
          </w:tcPr>
          <w:p w14:paraId="689BE05D" w14:textId="2055A8E8"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19.</w:t>
            </w:r>
          </w:p>
        </w:tc>
        <w:tc>
          <w:tcPr>
            <w:tcW w:w="4446" w:type="dxa"/>
          </w:tcPr>
          <w:p w14:paraId="3EFB2BF3" w14:textId="77777777" w:rsidR="00BB7DE7" w:rsidRPr="00325B94" w:rsidRDefault="00BB7DE7" w:rsidP="004A3ACE">
            <w:pPr>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 xml:space="preserve">Apsauga nuo DoS tipo atakų. (Turi būti apsauga nuo įsilaužimų, jų aptikimas ir </w:t>
            </w:r>
            <w:r w:rsidRPr="00325B94">
              <w:rPr>
                <w:rFonts w:ascii="Times New Roman" w:eastAsia="Arial" w:hAnsi="Times New Roman" w:cs="Times New Roman"/>
                <w:color w:val="000000" w:themeColor="text1"/>
                <w:kern w:val="2"/>
                <w14:ligatures w14:val="standardContextual"/>
              </w:rPr>
              <w:lastRenderedPageBreak/>
              <w:t>prevencija (TCP Syn Flood, Land, Ping of Death, ir kt.);</w:t>
            </w:r>
          </w:p>
        </w:tc>
        <w:tc>
          <w:tcPr>
            <w:tcW w:w="4320" w:type="dxa"/>
          </w:tcPr>
          <w:p w14:paraId="2962FDC4" w14:textId="77777777" w:rsidR="00BB7DE7" w:rsidRPr="00325B94" w:rsidRDefault="00BB7DE7" w:rsidP="004A3ACE">
            <w:pPr>
              <w:rPr>
                <w:rFonts w:ascii="Times New Roman" w:eastAsia="Arial" w:hAnsi="Times New Roman" w:cs="Times New Roman"/>
                <w:color w:val="000000" w:themeColor="text1"/>
                <w:kern w:val="2"/>
                <w14:ligatures w14:val="standardContextual"/>
              </w:rPr>
            </w:pPr>
          </w:p>
        </w:tc>
      </w:tr>
      <w:tr w:rsidR="00BB7DE7" w:rsidRPr="00302C90" w14:paraId="6A9ABEC2" w14:textId="6DF9256F" w:rsidTr="00BB7DE7">
        <w:trPr>
          <w:trHeight w:val="57"/>
        </w:trPr>
        <w:tc>
          <w:tcPr>
            <w:tcW w:w="1129" w:type="dxa"/>
            <w:noWrap/>
          </w:tcPr>
          <w:p w14:paraId="3FAA2E1C" w14:textId="6F234393"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20.</w:t>
            </w:r>
          </w:p>
        </w:tc>
        <w:tc>
          <w:tcPr>
            <w:tcW w:w="4446" w:type="dxa"/>
          </w:tcPr>
          <w:p w14:paraId="7EB7C20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Apsauga nuo Malware, Spyware ir bandymų įsilaužti ar kitaip išnaudoti sistemą (angl. IPS/IDS) bei Antivirusinė sistema</w:t>
            </w:r>
          </w:p>
        </w:tc>
        <w:tc>
          <w:tcPr>
            <w:tcW w:w="4320" w:type="dxa"/>
          </w:tcPr>
          <w:p w14:paraId="0A1DF5A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69D5BBED" w14:textId="50591455" w:rsidTr="00BB7DE7">
        <w:trPr>
          <w:trHeight w:val="57"/>
        </w:trPr>
        <w:tc>
          <w:tcPr>
            <w:tcW w:w="1129" w:type="dxa"/>
            <w:noWrap/>
          </w:tcPr>
          <w:p w14:paraId="4D951861" w14:textId="49CD56D1"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21.</w:t>
            </w:r>
          </w:p>
        </w:tc>
        <w:tc>
          <w:tcPr>
            <w:tcW w:w="4446" w:type="dxa"/>
          </w:tcPr>
          <w:p w14:paraId="6BD51D6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palaikyti SSL šifruoto srauto inspekciją įrenginyje atitinkamai įkeliant reikiamus sertifikatus.</w:t>
            </w:r>
          </w:p>
        </w:tc>
        <w:tc>
          <w:tcPr>
            <w:tcW w:w="4320" w:type="dxa"/>
          </w:tcPr>
          <w:p w14:paraId="046DE4B0"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6F74F45A" w14:textId="5B7FEC29" w:rsidTr="00BB7DE7">
        <w:trPr>
          <w:trHeight w:val="57"/>
        </w:trPr>
        <w:tc>
          <w:tcPr>
            <w:tcW w:w="1129" w:type="dxa"/>
            <w:noWrap/>
          </w:tcPr>
          <w:p w14:paraId="47976643" w14:textId="36F61857"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22.</w:t>
            </w:r>
          </w:p>
        </w:tc>
        <w:tc>
          <w:tcPr>
            <w:tcW w:w="4446" w:type="dxa"/>
          </w:tcPr>
          <w:p w14:paraId="163AF92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skenuoti HTTP/ SMTP/ POP3/ IMAP/ FTP ir tikrinti duomenų srautą nuo virusų.</w:t>
            </w:r>
          </w:p>
        </w:tc>
        <w:tc>
          <w:tcPr>
            <w:tcW w:w="4320" w:type="dxa"/>
          </w:tcPr>
          <w:p w14:paraId="5593CB1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13188563" w14:textId="73E30D79" w:rsidTr="00BB7DE7">
        <w:trPr>
          <w:trHeight w:val="57"/>
        </w:trPr>
        <w:tc>
          <w:tcPr>
            <w:tcW w:w="1129" w:type="dxa"/>
            <w:noWrap/>
          </w:tcPr>
          <w:p w14:paraId="74CF20D2" w14:textId="3E9E9C24"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23.</w:t>
            </w:r>
          </w:p>
        </w:tc>
        <w:tc>
          <w:tcPr>
            <w:tcW w:w="4446" w:type="dxa"/>
          </w:tcPr>
          <w:p w14:paraId="492B098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blokuoti  bylas  pagal bylos dydį ir tipą.</w:t>
            </w:r>
          </w:p>
        </w:tc>
        <w:tc>
          <w:tcPr>
            <w:tcW w:w="4320" w:type="dxa"/>
          </w:tcPr>
          <w:p w14:paraId="6888CCC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27C20DF8" w14:textId="4FE6CE5C" w:rsidTr="00BB7DE7">
        <w:trPr>
          <w:trHeight w:val="57"/>
        </w:trPr>
        <w:tc>
          <w:tcPr>
            <w:tcW w:w="1129" w:type="dxa"/>
            <w:noWrap/>
          </w:tcPr>
          <w:p w14:paraId="2EC1F38B" w14:textId="1416CA27" w:rsidR="00BB7DE7" w:rsidRPr="00B966C1" w:rsidRDefault="00535747"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24.</w:t>
            </w:r>
          </w:p>
        </w:tc>
        <w:tc>
          <w:tcPr>
            <w:tcW w:w="4446" w:type="dxa"/>
          </w:tcPr>
          <w:p w14:paraId="61A8E76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 xml:space="preserve">Turi atpažinti ne mažiau kaip 2000 aplikacijų, įskaitant Youtube, Gmail, Twiter, Facebook, web paštus ( atpažinimas, blokavimas (angl. Application Control). </w:t>
            </w:r>
          </w:p>
        </w:tc>
        <w:tc>
          <w:tcPr>
            <w:tcW w:w="4320" w:type="dxa"/>
          </w:tcPr>
          <w:p w14:paraId="6487838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E75869" w14:paraId="21FBBDB6" w14:textId="7D9EDDAF" w:rsidTr="00BB7DE7">
        <w:trPr>
          <w:trHeight w:val="57"/>
        </w:trPr>
        <w:tc>
          <w:tcPr>
            <w:tcW w:w="1129" w:type="dxa"/>
            <w:noWrap/>
          </w:tcPr>
          <w:p w14:paraId="5A9EBBBC" w14:textId="09187377"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25.</w:t>
            </w:r>
          </w:p>
        </w:tc>
        <w:tc>
          <w:tcPr>
            <w:tcW w:w="4446" w:type="dxa"/>
          </w:tcPr>
          <w:p w14:paraId="1694F09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Įrenginys turi gebėti VPN apjungimui naudoti SD-WAN technologiją ir dinaminiu srautu nukreipimu remiantis aplikacijomis.</w:t>
            </w:r>
          </w:p>
          <w:p w14:paraId="6ADDB946" w14:textId="77777777" w:rsidR="00BB7DE7" w:rsidRPr="00325B94" w:rsidRDefault="00BB7DE7" w:rsidP="00325B94">
            <w:pPr>
              <w:pStyle w:val="ListParagraph"/>
              <w:keepNext/>
              <w:keepLines/>
              <w:numPr>
                <w:ilvl w:val="0"/>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atlikti srauto balansavimą tarp skirtingų ryšio linijų remiantis ne mažiau kaip šiomis metrikomis:</w:t>
            </w:r>
          </w:p>
          <w:p w14:paraId="5719A106"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Sesijų kiekis</w:t>
            </w:r>
          </w:p>
          <w:p w14:paraId="0D4340EB"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Šaltinio-paskirties IP adresai</w:t>
            </w:r>
          </w:p>
          <w:p w14:paraId="681E33C3" w14:textId="77777777" w:rsidR="00BB7DE7" w:rsidRPr="00325B94" w:rsidRDefault="00BB7DE7" w:rsidP="00325B94">
            <w:pPr>
              <w:pStyle w:val="ListParagraph"/>
              <w:keepNext/>
              <w:keepLines/>
              <w:numPr>
                <w:ilvl w:val="0"/>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tikrinti esamų ryšio sujungimų kokybę ne mažiau kaip šiais parametrais:</w:t>
            </w:r>
          </w:p>
          <w:p w14:paraId="69B4A91D"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HTTP probe</w:t>
            </w:r>
          </w:p>
          <w:p w14:paraId="52C89F3E"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Jitter</w:t>
            </w:r>
          </w:p>
          <w:p w14:paraId="7591E1F7"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Ping</w:t>
            </w:r>
          </w:p>
          <w:p w14:paraId="7896B5C4"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Packet loss</w:t>
            </w:r>
          </w:p>
          <w:p w14:paraId="48C815EA" w14:textId="77777777" w:rsidR="00BB7DE7" w:rsidRPr="00325B94" w:rsidRDefault="00BB7DE7" w:rsidP="00325B94">
            <w:pPr>
              <w:pStyle w:val="ListParagraph"/>
              <w:keepNext/>
              <w:keepLines/>
              <w:numPr>
                <w:ilvl w:val="1"/>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Latency</w:t>
            </w:r>
          </w:p>
          <w:p w14:paraId="3EFD99A2" w14:textId="77777777" w:rsidR="00BB7DE7" w:rsidRPr="00325B94" w:rsidRDefault="00BB7DE7" w:rsidP="00325B94">
            <w:pPr>
              <w:pStyle w:val="ListParagraph"/>
              <w:keepNext/>
              <w:keepLines/>
              <w:numPr>
                <w:ilvl w:val="0"/>
                <w:numId w:val="5"/>
              </w:numPr>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Įvertinus sujungimo kokybės duomenis turi būti galimybė apsirašyti scenarijus, kuriais remiantis būtų atliktas srauto ir aplikacijų nukreipimas per geriausios kokybės kanalą.</w:t>
            </w:r>
          </w:p>
        </w:tc>
        <w:tc>
          <w:tcPr>
            <w:tcW w:w="4320" w:type="dxa"/>
          </w:tcPr>
          <w:p w14:paraId="52AB84F3"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13D295C2" w14:textId="6F5C575D" w:rsidTr="00BB7DE7">
        <w:trPr>
          <w:trHeight w:val="57"/>
        </w:trPr>
        <w:tc>
          <w:tcPr>
            <w:tcW w:w="1129" w:type="dxa"/>
            <w:noWrap/>
          </w:tcPr>
          <w:p w14:paraId="51A9AB22" w14:textId="0A6F1B4A"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26.</w:t>
            </w:r>
          </w:p>
        </w:tc>
        <w:tc>
          <w:tcPr>
            <w:tcW w:w="4446" w:type="dxa"/>
          </w:tcPr>
          <w:p w14:paraId="7517242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gebėti dirbti kaip DHCP klientas, DHCP serveris ir atlikti IP adreso pririšimus prie MAC</w:t>
            </w:r>
          </w:p>
        </w:tc>
        <w:tc>
          <w:tcPr>
            <w:tcW w:w="4320" w:type="dxa"/>
          </w:tcPr>
          <w:p w14:paraId="449089D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1EF50F3" w14:textId="52A3E7A6" w:rsidTr="00BB7DE7">
        <w:trPr>
          <w:trHeight w:val="57"/>
        </w:trPr>
        <w:tc>
          <w:tcPr>
            <w:tcW w:w="1129" w:type="dxa"/>
            <w:noWrap/>
          </w:tcPr>
          <w:p w14:paraId="10C7DFC3" w14:textId="524D0F05"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27.</w:t>
            </w:r>
          </w:p>
        </w:tc>
        <w:tc>
          <w:tcPr>
            <w:tcW w:w="4446" w:type="dxa"/>
          </w:tcPr>
          <w:p w14:paraId="5EDFFCBA"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Maršrutizavimas pagal taisykles (angl. Policy-Based Routing) (maršrutizavimas pagal sekančius kriterijus: protokolą, IP adresus, porto numerius)</w:t>
            </w:r>
          </w:p>
        </w:tc>
        <w:tc>
          <w:tcPr>
            <w:tcW w:w="4320" w:type="dxa"/>
          </w:tcPr>
          <w:p w14:paraId="74FAB374"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7B86DDE0" w14:textId="3F8913EC" w:rsidTr="00BB7DE7">
        <w:trPr>
          <w:trHeight w:val="57"/>
        </w:trPr>
        <w:tc>
          <w:tcPr>
            <w:tcW w:w="1129" w:type="dxa"/>
            <w:noWrap/>
          </w:tcPr>
          <w:p w14:paraId="65014AE6" w14:textId="627B5437"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28.</w:t>
            </w:r>
          </w:p>
        </w:tc>
        <w:tc>
          <w:tcPr>
            <w:tcW w:w="4446" w:type="dxa"/>
          </w:tcPr>
          <w:p w14:paraId="7DA34479"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 xml:space="preserve">Dinaminis maršrutizavimas (RIP v2, OSPF, BGP) kiekvienoje virtualioje ugniasienėje atskirai </w:t>
            </w:r>
          </w:p>
        </w:tc>
        <w:tc>
          <w:tcPr>
            <w:tcW w:w="4320" w:type="dxa"/>
          </w:tcPr>
          <w:p w14:paraId="08CE1E47"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372E6B03" w14:textId="140E6BAA" w:rsidTr="00BB7DE7">
        <w:trPr>
          <w:trHeight w:val="57"/>
        </w:trPr>
        <w:tc>
          <w:tcPr>
            <w:tcW w:w="1129" w:type="dxa"/>
            <w:noWrap/>
          </w:tcPr>
          <w:p w14:paraId="7FFAC764" w14:textId="0EC8B1F8"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29.</w:t>
            </w:r>
          </w:p>
        </w:tc>
        <w:tc>
          <w:tcPr>
            <w:tcW w:w="4446" w:type="dxa"/>
          </w:tcPr>
          <w:p w14:paraId="52C0529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IPv6 maršrutizavimas.</w:t>
            </w:r>
          </w:p>
        </w:tc>
        <w:tc>
          <w:tcPr>
            <w:tcW w:w="4320" w:type="dxa"/>
          </w:tcPr>
          <w:p w14:paraId="08450C3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95F3F8B" w14:textId="568958C5" w:rsidTr="00BB7DE7">
        <w:trPr>
          <w:trHeight w:val="57"/>
        </w:trPr>
        <w:tc>
          <w:tcPr>
            <w:tcW w:w="1129" w:type="dxa"/>
            <w:noWrap/>
          </w:tcPr>
          <w:p w14:paraId="0ACC3659" w14:textId="705F6629"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lastRenderedPageBreak/>
              <w:t>2.2.</w:t>
            </w:r>
            <w:r w:rsidR="00B966C1">
              <w:rPr>
                <w:rFonts w:ascii="Times New Roman" w:hAnsi="Times New Roman" w:cs="Times New Roman"/>
              </w:rPr>
              <w:t>30.</w:t>
            </w:r>
          </w:p>
        </w:tc>
        <w:tc>
          <w:tcPr>
            <w:tcW w:w="4446" w:type="dxa"/>
          </w:tcPr>
          <w:p w14:paraId="574DA92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 xml:space="preserve">Turi būti srauto ribojimo funkcionalumas DSCP ir (angl. Traffic shaping), nurodant garantuotą bei maksimalų duomenų srauto dydį naudojant </w:t>
            </w:r>
            <w:r w:rsidRPr="00325B94">
              <w:rPr>
                <w:rFonts w:ascii="Times New Roman" w:eastAsia="Arial" w:hAnsi="Times New Roman" w:cs="Times New Roman"/>
                <w:kern w:val="2"/>
                <w14:ligatures w14:val="standardContextual"/>
              </w:rPr>
              <w:t>saugumo/srauto taisykles;</w:t>
            </w:r>
          </w:p>
        </w:tc>
        <w:tc>
          <w:tcPr>
            <w:tcW w:w="4320" w:type="dxa"/>
          </w:tcPr>
          <w:p w14:paraId="6E1F6FA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65EDBC55" w14:textId="10667213" w:rsidTr="00BB7DE7">
        <w:trPr>
          <w:trHeight w:val="57"/>
        </w:trPr>
        <w:tc>
          <w:tcPr>
            <w:tcW w:w="1129" w:type="dxa"/>
            <w:noWrap/>
          </w:tcPr>
          <w:p w14:paraId="3615936F" w14:textId="73094789"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31.</w:t>
            </w:r>
          </w:p>
        </w:tc>
        <w:tc>
          <w:tcPr>
            <w:tcW w:w="4446" w:type="dxa"/>
          </w:tcPr>
          <w:p w14:paraId="74C5DE4A"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Turi būti įsibrovimų kaupimas ir raportavimas: Prekės laikinojoje atmintyje, SysLog serveryje, pranešimas el. paštu;</w:t>
            </w:r>
          </w:p>
        </w:tc>
        <w:tc>
          <w:tcPr>
            <w:tcW w:w="4320" w:type="dxa"/>
          </w:tcPr>
          <w:p w14:paraId="4532E9F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p>
        </w:tc>
      </w:tr>
      <w:tr w:rsidR="00BB7DE7" w:rsidRPr="00302C90" w14:paraId="3DF864E5" w14:textId="7B1ED1D5" w:rsidTr="00BB7DE7">
        <w:trPr>
          <w:trHeight w:val="57"/>
        </w:trPr>
        <w:tc>
          <w:tcPr>
            <w:tcW w:w="1129" w:type="dxa"/>
            <w:noWrap/>
          </w:tcPr>
          <w:p w14:paraId="6C5F0808" w14:textId="699E83F0"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32.</w:t>
            </w:r>
          </w:p>
        </w:tc>
        <w:tc>
          <w:tcPr>
            <w:tcW w:w="4446" w:type="dxa"/>
          </w:tcPr>
          <w:p w14:paraId="14C3FE1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Turi palaikyti prievadų loginį grupavimą pagal IEEE 802.3ad ar lygiavertį standartą</w:t>
            </w:r>
          </w:p>
        </w:tc>
        <w:tc>
          <w:tcPr>
            <w:tcW w:w="4320" w:type="dxa"/>
          </w:tcPr>
          <w:p w14:paraId="6864D3A3"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p>
        </w:tc>
      </w:tr>
      <w:tr w:rsidR="00BB7DE7" w:rsidRPr="00302C90" w14:paraId="07B120D6" w14:textId="131E4E55" w:rsidTr="00BB7DE7">
        <w:trPr>
          <w:trHeight w:val="57"/>
        </w:trPr>
        <w:tc>
          <w:tcPr>
            <w:tcW w:w="1129" w:type="dxa"/>
            <w:noWrap/>
          </w:tcPr>
          <w:p w14:paraId="7D436E2B" w14:textId="2F388839"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33.</w:t>
            </w:r>
          </w:p>
        </w:tc>
        <w:tc>
          <w:tcPr>
            <w:tcW w:w="4446" w:type="dxa"/>
          </w:tcPr>
          <w:p w14:paraId="1EE664A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Įrenginys turi skaidriai nustatyti vartotojų tapatybę (naudojantis Microsoft AD)</w:t>
            </w:r>
          </w:p>
        </w:tc>
        <w:tc>
          <w:tcPr>
            <w:tcW w:w="4320" w:type="dxa"/>
          </w:tcPr>
          <w:p w14:paraId="0CAFDC2A"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p>
        </w:tc>
      </w:tr>
      <w:tr w:rsidR="00BB7DE7" w:rsidRPr="00302C90" w14:paraId="26FDF1AB" w14:textId="69535E61" w:rsidTr="00BB7DE7">
        <w:trPr>
          <w:trHeight w:val="57"/>
        </w:trPr>
        <w:tc>
          <w:tcPr>
            <w:tcW w:w="1129" w:type="dxa"/>
            <w:noWrap/>
          </w:tcPr>
          <w:p w14:paraId="31455901" w14:textId="1A0EC0AD"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34.</w:t>
            </w:r>
          </w:p>
        </w:tc>
        <w:tc>
          <w:tcPr>
            <w:tcW w:w="4446" w:type="dxa"/>
          </w:tcPr>
          <w:p w14:paraId="4C745C1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Saugumo taisyklių kūrimas naudojant vartotojus (USER-ID) bei jų grupes, o ne tik IP adresus</w:t>
            </w:r>
          </w:p>
        </w:tc>
        <w:tc>
          <w:tcPr>
            <w:tcW w:w="4320" w:type="dxa"/>
          </w:tcPr>
          <w:p w14:paraId="3E58AC5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BE33019" w14:textId="35E3187F" w:rsidTr="00BB7DE7">
        <w:trPr>
          <w:trHeight w:val="57"/>
        </w:trPr>
        <w:tc>
          <w:tcPr>
            <w:tcW w:w="1129" w:type="dxa"/>
            <w:noWrap/>
          </w:tcPr>
          <w:p w14:paraId="772CE4A4" w14:textId="273E0A72"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35.</w:t>
            </w:r>
          </w:p>
        </w:tc>
        <w:tc>
          <w:tcPr>
            <w:tcW w:w="4446" w:type="dxa"/>
          </w:tcPr>
          <w:p w14:paraId="104C584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gebėti dirbti skaidriame režime (angl.transparent) ir maršrutizavimo režime (angl. routed) skirtingose virtualiose ugniasienėse vienu metu;</w:t>
            </w:r>
          </w:p>
        </w:tc>
        <w:tc>
          <w:tcPr>
            <w:tcW w:w="4320" w:type="dxa"/>
          </w:tcPr>
          <w:p w14:paraId="642F82D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6D685B98" w14:textId="2157BED5" w:rsidTr="00BB7DE7">
        <w:trPr>
          <w:trHeight w:val="57"/>
        </w:trPr>
        <w:tc>
          <w:tcPr>
            <w:tcW w:w="1129" w:type="dxa"/>
            <w:noWrap/>
          </w:tcPr>
          <w:p w14:paraId="35B9118A" w14:textId="723D7686"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36.</w:t>
            </w:r>
          </w:p>
        </w:tc>
        <w:tc>
          <w:tcPr>
            <w:tcW w:w="4446" w:type="dxa"/>
          </w:tcPr>
          <w:p w14:paraId="17E2A889"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Gebėti atlikti taisyklėmis paremtą adresų transliavimą (angl.„policy-based NAT“).</w:t>
            </w:r>
          </w:p>
        </w:tc>
        <w:tc>
          <w:tcPr>
            <w:tcW w:w="4320" w:type="dxa"/>
          </w:tcPr>
          <w:p w14:paraId="3E40A4C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7E917599" w14:textId="2F703BAD" w:rsidTr="00BB7DE7">
        <w:trPr>
          <w:trHeight w:val="57"/>
        </w:trPr>
        <w:tc>
          <w:tcPr>
            <w:tcW w:w="1129" w:type="dxa"/>
            <w:noWrap/>
          </w:tcPr>
          <w:p w14:paraId="578ECF87" w14:textId="5DD6AF28"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37.</w:t>
            </w:r>
          </w:p>
        </w:tc>
        <w:tc>
          <w:tcPr>
            <w:tcW w:w="4446" w:type="dxa"/>
          </w:tcPr>
          <w:p w14:paraId="1CBC4AE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būti IEEE 802.1Q VLAN palaikymas.</w:t>
            </w:r>
          </w:p>
        </w:tc>
        <w:tc>
          <w:tcPr>
            <w:tcW w:w="4320" w:type="dxa"/>
          </w:tcPr>
          <w:p w14:paraId="7FAE2B1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239203C6" w14:textId="1D907B52" w:rsidTr="00BB7DE7">
        <w:trPr>
          <w:trHeight w:val="57"/>
        </w:trPr>
        <w:tc>
          <w:tcPr>
            <w:tcW w:w="1129" w:type="dxa"/>
            <w:noWrap/>
          </w:tcPr>
          <w:p w14:paraId="2D5962F2" w14:textId="0FF5DCFC"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38.</w:t>
            </w:r>
          </w:p>
        </w:tc>
        <w:tc>
          <w:tcPr>
            <w:tcW w:w="4446" w:type="dxa"/>
          </w:tcPr>
          <w:p w14:paraId="5935BB33" w14:textId="77777777" w:rsidR="00BB7DE7" w:rsidRPr="00325B94" w:rsidRDefault="00BB7DE7" w:rsidP="004A3ACE">
            <w:pPr>
              <w:spacing w:after="0" w:line="240" w:lineRule="auto"/>
              <w:ind w:firstLine="357"/>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Vartotojų grupių autentifikavimas naudojant:</w:t>
            </w:r>
          </w:p>
          <w:p w14:paraId="7D5B72D5" w14:textId="77777777" w:rsidR="00BB7DE7" w:rsidRPr="00325B94" w:rsidRDefault="00BB7DE7" w:rsidP="00325B94">
            <w:pPr>
              <w:pStyle w:val="ListParagraph"/>
              <w:numPr>
                <w:ilvl w:val="0"/>
                <w:numId w:val="3"/>
              </w:numPr>
              <w:spacing w:after="0" w:line="240" w:lineRule="auto"/>
              <w:jc w:val="both"/>
              <w:rPr>
                <w:rFonts w:ascii="Times New Roman" w:eastAsia="Arial" w:hAnsi="Times New Roman" w:cs="Times New Roman"/>
                <w:color w:val="000000" w:themeColor="text1"/>
              </w:rPr>
            </w:pPr>
            <w:r w:rsidRPr="00325B94">
              <w:rPr>
                <w:rFonts w:ascii="Times New Roman" w:eastAsia="Arial" w:hAnsi="Times New Roman" w:cs="Times New Roman"/>
                <w:color w:val="000000" w:themeColor="text1"/>
              </w:rPr>
              <w:t>LDAP;</w:t>
            </w:r>
          </w:p>
          <w:p w14:paraId="38515761" w14:textId="77777777" w:rsidR="00BB7DE7" w:rsidRPr="00325B94" w:rsidRDefault="00BB7DE7" w:rsidP="00325B94">
            <w:pPr>
              <w:pStyle w:val="ListParagraph"/>
              <w:numPr>
                <w:ilvl w:val="0"/>
                <w:numId w:val="3"/>
              </w:numPr>
              <w:spacing w:after="0" w:line="240" w:lineRule="auto"/>
              <w:jc w:val="both"/>
              <w:rPr>
                <w:rFonts w:ascii="Times New Roman" w:eastAsia="Arial" w:hAnsi="Times New Roman" w:cs="Times New Roman"/>
                <w:color w:val="000000" w:themeColor="text1"/>
              </w:rPr>
            </w:pPr>
            <w:r w:rsidRPr="00325B94">
              <w:rPr>
                <w:rFonts w:ascii="Times New Roman" w:eastAsia="Arial" w:hAnsi="Times New Roman" w:cs="Times New Roman"/>
                <w:color w:val="000000" w:themeColor="text1"/>
              </w:rPr>
              <w:t>RADIUS arba TACACS+</w:t>
            </w:r>
          </w:p>
        </w:tc>
        <w:tc>
          <w:tcPr>
            <w:tcW w:w="4320" w:type="dxa"/>
          </w:tcPr>
          <w:p w14:paraId="4AD7BE3F" w14:textId="77777777" w:rsidR="00BB7DE7" w:rsidRPr="00325B94" w:rsidRDefault="00BB7DE7" w:rsidP="004A3ACE">
            <w:pPr>
              <w:spacing w:after="0" w:line="240" w:lineRule="auto"/>
              <w:ind w:firstLine="357"/>
              <w:jc w:val="both"/>
              <w:rPr>
                <w:rFonts w:ascii="Times New Roman" w:eastAsia="Arial" w:hAnsi="Times New Roman" w:cs="Times New Roman"/>
                <w:color w:val="000000" w:themeColor="text1"/>
                <w:kern w:val="2"/>
                <w14:ligatures w14:val="standardContextual"/>
              </w:rPr>
            </w:pPr>
          </w:p>
        </w:tc>
      </w:tr>
      <w:tr w:rsidR="00BB7DE7" w:rsidRPr="00302C90" w14:paraId="6BAAA166" w14:textId="0E8FE998" w:rsidTr="00BB7DE7">
        <w:trPr>
          <w:trHeight w:val="57"/>
        </w:trPr>
        <w:tc>
          <w:tcPr>
            <w:tcW w:w="1129" w:type="dxa"/>
            <w:noWrap/>
          </w:tcPr>
          <w:p w14:paraId="33A78D1C" w14:textId="37035C72"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39.</w:t>
            </w:r>
          </w:p>
        </w:tc>
        <w:tc>
          <w:tcPr>
            <w:tcW w:w="4446" w:type="dxa"/>
          </w:tcPr>
          <w:p w14:paraId="3DDD3E4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Automatinis įsilaužimų aprašų (angl. signature) duomenų bazės atnaujinimas</w:t>
            </w:r>
          </w:p>
        </w:tc>
        <w:tc>
          <w:tcPr>
            <w:tcW w:w="4320" w:type="dxa"/>
          </w:tcPr>
          <w:p w14:paraId="420136C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3E1503CF" w14:textId="707C6887" w:rsidTr="00BB7DE7">
        <w:trPr>
          <w:trHeight w:val="57"/>
        </w:trPr>
        <w:tc>
          <w:tcPr>
            <w:tcW w:w="1129" w:type="dxa"/>
            <w:noWrap/>
          </w:tcPr>
          <w:p w14:paraId="0BFEB913" w14:textId="4FDF49F9" w:rsidR="00BB7DE7" w:rsidRPr="00B966C1" w:rsidRDefault="005606C8" w:rsidP="00B966C1">
            <w:pPr>
              <w:spacing w:after="0" w:line="240" w:lineRule="auto"/>
              <w:rPr>
                <w:rFonts w:ascii="Times New Roman" w:hAnsi="Times New Roman" w:cs="Times New Roman"/>
              </w:rPr>
            </w:pPr>
            <w:r>
              <w:rPr>
                <w:rFonts w:ascii="Times New Roman" w:hAnsi="Times New Roman" w:cs="Times New Roman"/>
              </w:rPr>
              <w:t>2.2.</w:t>
            </w:r>
            <w:r w:rsidR="00B966C1">
              <w:rPr>
                <w:rFonts w:ascii="Times New Roman" w:hAnsi="Times New Roman" w:cs="Times New Roman"/>
              </w:rPr>
              <w:t>40.</w:t>
            </w:r>
          </w:p>
        </w:tc>
        <w:tc>
          <w:tcPr>
            <w:tcW w:w="4446" w:type="dxa"/>
          </w:tcPr>
          <w:p w14:paraId="460EBA7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Saugumo taisyklių apjungimas į saugumo zonas kiekvienoje virtualioje ugniasienėje atskirai</w:t>
            </w:r>
          </w:p>
        </w:tc>
        <w:tc>
          <w:tcPr>
            <w:tcW w:w="4320" w:type="dxa"/>
          </w:tcPr>
          <w:p w14:paraId="6FC2EAAB"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500CFF1" w14:textId="34F50B16" w:rsidTr="00BB7DE7">
        <w:trPr>
          <w:trHeight w:val="57"/>
        </w:trPr>
        <w:tc>
          <w:tcPr>
            <w:tcW w:w="1129" w:type="dxa"/>
            <w:noWrap/>
          </w:tcPr>
          <w:p w14:paraId="473FF118" w14:textId="14A349CB" w:rsidR="00BB7DE7" w:rsidRPr="00B966C1" w:rsidRDefault="00905331" w:rsidP="00905331">
            <w:pPr>
              <w:spacing w:after="0" w:line="240" w:lineRule="auto"/>
              <w:rPr>
                <w:rFonts w:ascii="Times New Roman" w:hAnsi="Times New Roman" w:cs="Times New Roman"/>
              </w:rPr>
            </w:pPr>
            <w:r>
              <w:rPr>
                <w:rFonts w:ascii="Times New Roman" w:hAnsi="Times New Roman" w:cs="Times New Roman"/>
              </w:rPr>
              <w:t>2.2.41.</w:t>
            </w:r>
          </w:p>
        </w:tc>
        <w:tc>
          <w:tcPr>
            <w:tcW w:w="4446" w:type="dxa"/>
          </w:tcPr>
          <w:p w14:paraId="7B10F7D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Turi būti grafinė vartotojo sąsaja (GUI) per naršyklę HTTPS protokolu, komandinė eilutė SSH protokolu. Prisijungimui prie įrangos valdymo per grafinę vartotojo sąsają (GUI) turi būti naudojama naršyklė HTTPS protokolu be papildomų specialių gamintojo pateikiamų programinės įrangos paketų ar papildomų naršyklės įskiepių̨.</w:t>
            </w:r>
          </w:p>
        </w:tc>
        <w:tc>
          <w:tcPr>
            <w:tcW w:w="4320" w:type="dxa"/>
          </w:tcPr>
          <w:p w14:paraId="37B71758"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p>
        </w:tc>
      </w:tr>
      <w:tr w:rsidR="00BB7DE7" w:rsidRPr="00083FB5" w14:paraId="3A02E8D6" w14:textId="076DF744" w:rsidTr="00BB7DE7">
        <w:trPr>
          <w:trHeight w:val="57"/>
        </w:trPr>
        <w:tc>
          <w:tcPr>
            <w:tcW w:w="1129" w:type="dxa"/>
            <w:noWrap/>
          </w:tcPr>
          <w:p w14:paraId="1B362C7E" w14:textId="77A4C9E3"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lastRenderedPageBreak/>
              <w:t>2.2.42.</w:t>
            </w:r>
          </w:p>
        </w:tc>
        <w:tc>
          <w:tcPr>
            <w:tcW w:w="4446" w:type="dxa"/>
          </w:tcPr>
          <w:p w14:paraId="08558C6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Per valdymui skirtą grafinę vartotojo sąsają (GUI) per HTTPS (be CLI emuliatoriaus grafinėje sąsajoje) turi būti galima atlikti ne mažiau kaip šiuos konfigūravimo, problemų paieškos ir analizės veiksmus:</w:t>
            </w:r>
          </w:p>
          <w:p w14:paraId="54F73E54"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aukšto patikimumo funkcionalumo konfigūravimas;</w:t>
            </w:r>
          </w:p>
          <w:p w14:paraId="2C1EF53B"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PBR funkcionalumo konfigūravimas;</w:t>
            </w:r>
          </w:p>
          <w:p w14:paraId="3AB2B4AC"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prieigos politikų konfigūravimas;</w:t>
            </w:r>
          </w:p>
          <w:p w14:paraId="74C9F4F6"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apsaugos nuo grėsmių funkcionalumo konfigūravimas;</w:t>
            </w:r>
          </w:p>
          <w:p w14:paraId="02C77057"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IPS funkcionalumo konfigūravimas;</w:t>
            </w:r>
          </w:p>
          <w:p w14:paraId="382D6D88"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aplikacijų valdymo funkcionalumo konfigūravimas;</w:t>
            </w:r>
          </w:p>
          <w:p w14:paraId="41CFCF87"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VPN funkcionalumo konfigūravimas;</w:t>
            </w:r>
          </w:p>
          <w:p w14:paraId="5C5945B5"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srauto įrašų peržiūra ir paieška,f iltravimas;</w:t>
            </w:r>
          </w:p>
          <w:p w14:paraId="67D41E86"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sisteminių įrašų peržiūra ir paieška, filtravimas;</w:t>
            </w:r>
          </w:p>
          <w:p w14:paraId="4FA3D87D"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administravimo įrašų peržiūra ir paieška, filtravimas;</w:t>
            </w:r>
          </w:p>
          <w:p w14:paraId="5BB51D22"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VPN įrašų peržiūra ir paieška, filtravimas;</w:t>
            </w:r>
          </w:p>
          <w:p w14:paraId="4E2B8681"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maršrutizavimo įrašų peržiūra ir paieška, filtravimas;</w:t>
            </w:r>
          </w:p>
          <w:p w14:paraId="76D3E4F1" w14:textId="77777777" w:rsidR="00BB7DE7" w:rsidRPr="00325B94" w:rsidRDefault="00BB7DE7" w:rsidP="00325B94">
            <w:pPr>
              <w:pStyle w:val="ListParagraph"/>
              <w:keepNext/>
              <w:keepLines/>
              <w:numPr>
                <w:ilvl w:val="0"/>
                <w:numId w:val="6"/>
              </w:numPr>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saugos incidentų įvykių peržiūra ir paieška, filtravimas.</w:t>
            </w:r>
          </w:p>
        </w:tc>
        <w:tc>
          <w:tcPr>
            <w:tcW w:w="4320" w:type="dxa"/>
          </w:tcPr>
          <w:p w14:paraId="20B3A52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p>
        </w:tc>
      </w:tr>
      <w:tr w:rsidR="00BB7DE7" w:rsidRPr="00302C90" w14:paraId="0AB4743E" w14:textId="30CE57B9" w:rsidTr="00BB7DE7">
        <w:trPr>
          <w:trHeight w:val="57"/>
        </w:trPr>
        <w:tc>
          <w:tcPr>
            <w:tcW w:w="1129" w:type="dxa"/>
            <w:noWrap/>
          </w:tcPr>
          <w:p w14:paraId="1CAB3A2D" w14:textId="56051AE9"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t>2.2.43.</w:t>
            </w:r>
          </w:p>
        </w:tc>
        <w:tc>
          <w:tcPr>
            <w:tcW w:w="4446" w:type="dxa"/>
          </w:tcPr>
          <w:p w14:paraId="6FE3A16B"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būti skirtingų lygių administravimo rolės.</w:t>
            </w:r>
          </w:p>
        </w:tc>
        <w:tc>
          <w:tcPr>
            <w:tcW w:w="4320" w:type="dxa"/>
          </w:tcPr>
          <w:p w14:paraId="770812C5"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576F8B9A" w14:textId="60B737C4" w:rsidTr="00BB7DE7">
        <w:trPr>
          <w:trHeight w:val="57"/>
        </w:trPr>
        <w:tc>
          <w:tcPr>
            <w:tcW w:w="1129" w:type="dxa"/>
            <w:noWrap/>
          </w:tcPr>
          <w:p w14:paraId="47DC376E" w14:textId="613AF947"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t>2.2.44.</w:t>
            </w:r>
          </w:p>
        </w:tc>
        <w:tc>
          <w:tcPr>
            <w:tcW w:w="4446" w:type="dxa"/>
          </w:tcPr>
          <w:p w14:paraId="664746AF"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Vidinis įvykių žurnalas.</w:t>
            </w:r>
          </w:p>
        </w:tc>
        <w:tc>
          <w:tcPr>
            <w:tcW w:w="4320" w:type="dxa"/>
          </w:tcPr>
          <w:p w14:paraId="6FE353F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0B5E2E53" w14:textId="6C544E44" w:rsidTr="00BB7DE7">
        <w:trPr>
          <w:trHeight w:val="57"/>
        </w:trPr>
        <w:tc>
          <w:tcPr>
            <w:tcW w:w="1129" w:type="dxa"/>
            <w:noWrap/>
          </w:tcPr>
          <w:p w14:paraId="6D4B7F97" w14:textId="38FB2CC7"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t>2.2.45.</w:t>
            </w:r>
          </w:p>
        </w:tc>
        <w:tc>
          <w:tcPr>
            <w:tcW w:w="4446" w:type="dxa"/>
          </w:tcPr>
          <w:p w14:paraId="046AAC3C"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r w:rsidRPr="00325B94">
              <w:rPr>
                <w:rFonts w:ascii="Times New Roman" w:eastAsia="Segoe UI" w:hAnsi="Times New Roman" w:cs="Times New Roman"/>
                <w:color w:val="000000" w:themeColor="text1"/>
                <w:kern w:val="2"/>
                <w14:ligatures w14:val="standardContextual"/>
              </w:rPr>
              <w:t>Įvykių persiuntimas į nutolusį Syslog ar lygiavertį serverį be tarpinių papildomų kolektorių, t.y. tiesiogiai.</w:t>
            </w:r>
          </w:p>
        </w:tc>
        <w:tc>
          <w:tcPr>
            <w:tcW w:w="4320" w:type="dxa"/>
          </w:tcPr>
          <w:p w14:paraId="794B7BD0"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p>
        </w:tc>
      </w:tr>
      <w:tr w:rsidR="00BB7DE7" w:rsidRPr="00302C90" w14:paraId="694130CE" w14:textId="4D6F09E2" w:rsidTr="00BB7DE7">
        <w:trPr>
          <w:trHeight w:val="57"/>
        </w:trPr>
        <w:tc>
          <w:tcPr>
            <w:tcW w:w="1129" w:type="dxa"/>
            <w:noWrap/>
          </w:tcPr>
          <w:p w14:paraId="3723E64B" w14:textId="34BCD4F3"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t>2.2.46.</w:t>
            </w:r>
          </w:p>
        </w:tc>
        <w:tc>
          <w:tcPr>
            <w:tcW w:w="4446" w:type="dxa"/>
          </w:tcPr>
          <w:p w14:paraId="7746914D"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palaikyti SNMP v2c arba lygiavertį</w:t>
            </w:r>
          </w:p>
        </w:tc>
        <w:tc>
          <w:tcPr>
            <w:tcW w:w="4320" w:type="dxa"/>
          </w:tcPr>
          <w:p w14:paraId="37DB019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31DBAA07" w14:textId="162EE0E2" w:rsidTr="00BB7DE7">
        <w:trPr>
          <w:trHeight w:val="57"/>
        </w:trPr>
        <w:tc>
          <w:tcPr>
            <w:tcW w:w="1129" w:type="dxa"/>
            <w:noWrap/>
          </w:tcPr>
          <w:p w14:paraId="04FA362A" w14:textId="3E351E64"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t>2.2.47.</w:t>
            </w:r>
          </w:p>
        </w:tc>
        <w:tc>
          <w:tcPr>
            <w:tcW w:w="4446" w:type="dxa"/>
          </w:tcPr>
          <w:p w14:paraId="0DFCAF3F"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 xml:space="preserve">Turi būti galima stebėti, riboti, blokuoti aplikacijas </w:t>
            </w:r>
          </w:p>
        </w:tc>
        <w:tc>
          <w:tcPr>
            <w:tcW w:w="4320" w:type="dxa"/>
          </w:tcPr>
          <w:p w14:paraId="1F75EF7B"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BB7DE7" w:rsidRPr="00302C90" w14:paraId="294FB453" w14:textId="48D9CDD0" w:rsidTr="00BB7DE7">
        <w:trPr>
          <w:trHeight w:val="57"/>
        </w:trPr>
        <w:tc>
          <w:tcPr>
            <w:tcW w:w="1129" w:type="dxa"/>
            <w:noWrap/>
          </w:tcPr>
          <w:p w14:paraId="5316937A" w14:textId="6B7F9951" w:rsidR="00BB7DE7" w:rsidRPr="00905331" w:rsidRDefault="00905331" w:rsidP="00905331">
            <w:pPr>
              <w:spacing w:after="0" w:line="240" w:lineRule="auto"/>
              <w:rPr>
                <w:rFonts w:ascii="Times New Roman" w:hAnsi="Times New Roman" w:cs="Times New Roman"/>
              </w:rPr>
            </w:pPr>
            <w:r>
              <w:rPr>
                <w:rFonts w:ascii="Times New Roman" w:hAnsi="Times New Roman" w:cs="Times New Roman"/>
              </w:rPr>
              <w:t>2.2.48.</w:t>
            </w:r>
          </w:p>
        </w:tc>
        <w:tc>
          <w:tcPr>
            <w:tcW w:w="4446" w:type="dxa"/>
          </w:tcPr>
          <w:p w14:paraId="24248D5B"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kern w:val="2"/>
                <w14:ligatures w14:val="standardContextual"/>
              </w:rPr>
            </w:pPr>
            <w:r w:rsidRPr="00325B94">
              <w:rPr>
                <w:rFonts w:ascii="Times New Roman" w:eastAsia="Arial" w:hAnsi="Times New Roman" w:cs="Times New Roman"/>
                <w:color w:val="000000" w:themeColor="text1"/>
                <w:kern w:val="2"/>
                <w14:ligatures w14:val="standardContextual"/>
              </w:rPr>
              <w:t>Turi būti galimybė sukurti adresų objektų grupę kurioje esantys objektai negalėtų būti naudojami kitose grupėse.</w:t>
            </w:r>
          </w:p>
        </w:tc>
        <w:tc>
          <w:tcPr>
            <w:tcW w:w="4320" w:type="dxa"/>
          </w:tcPr>
          <w:p w14:paraId="66B98631"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kern w:val="2"/>
                <w14:ligatures w14:val="standardContextual"/>
              </w:rPr>
            </w:pPr>
          </w:p>
        </w:tc>
      </w:tr>
      <w:tr w:rsidR="00895C38" w:rsidRPr="00302C90" w14:paraId="5A26E4D5" w14:textId="1C72C0C7" w:rsidTr="002676EB">
        <w:trPr>
          <w:trHeight w:val="57"/>
        </w:trPr>
        <w:tc>
          <w:tcPr>
            <w:tcW w:w="1129" w:type="dxa"/>
            <w:noWrap/>
          </w:tcPr>
          <w:p w14:paraId="71C5ACF1" w14:textId="3D1FE19F" w:rsidR="00895C38" w:rsidRPr="0060407E" w:rsidRDefault="00895C38" w:rsidP="0060407E">
            <w:pPr>
              <w:spacing w:after="0" w:line="240" w:lineRule="auto"/>
              <w:ind w:left="23"/>
              <w:rPr>
                <w:rFonts w:ascii="Times New Roman" w:hAnsi="Times New Roman" w:cs="Times New Roman"/>
              </w:rPr>
            </w:pPr>
            <w:r>
              <w:rPr>
                <w:rFonts w:ascii="Times New Roman" w:hAnsi="Times New Roman" w:cs="Times New Roman"/>
              </w:rPr>
              <w:t>2.3.</w:t>
            </w:r>
          </w:p>
        </w:tc>
        <w:tc>
          <w:tcPr>
            <w:tcW w:w="8766" w:type="dxa"/>
            <w:gridSpan w:val="2"/>
            <w:vAlign w:val="center"/>
          </w:tcPr>
          <w:p w14:paraId="795A5008" w14:textId="0EC76501" w:rsidR="00895C38" w:rsidRPr="00325B94" w:rsidRDefault="00895C38" w:rsidP="004A3ACE">
            <w:pPr>
              <w:keepNext/>
              <w:keepLines/>
              <w:tabs>
                <w:tab w:val="left" w:pos="390"/>
                <w:tab w:val="left" w:pos="1035"/>
                <w:tab w:val="left" w:pos="1500"/>
              </w:tabs>
              <w:spacing w:after="0" w:line="240" w:lineRule="auto"/>
              <w:jc w:val="both"/>
              <w:rPr>
                <w:rFonts w:ascii="Times New Roman" w:hAnsi="Times New Roman" w:cs="Times New Roman"/>
                <w:b/>
                <w:bCs/>
              </w:rPr>
            </w:pPr>
            <w:r w:rsidRPr="00325B94">
              <w:rPr>
                <w:rFonts w:ascii="Times New Roman" w:hAnsi="Times New Roman" w:cs="Times New Roman"/>
                <w:b/>
                <w:bCs/>
              </w:rPr>
              <w:t>Garantija</w:t>
            </w:r>
          </w:p>
        </w:tc>
      </w:tr>
      <w:tr w:rsidR="00BB7DE7" w:rsidRPr="00302C90" w14:paraId="2830E877" w14:textId="3CAB4C19" w:rsidTr="00BB7DE7">
        <w:trPr>
          <w:trHeight w:val="57"/>
        </w:trPr>
        <w:tc>
          <w:tcPr>
            <w:tcW w:w="1129" w:type="dxa"/>
            <w:noWrap/>
          </w:tcPr>
          <w:p w14:paraId="2125AEB9" w14:textId="63747356" w:rsidR="00BB7DE7" w:rsidRPr="0060407E" w:rsidRDefault="0060407E" w:rsidP="0060407E">
            <w:pPr>
              <w:spacing w:after="0" w:line="240" w:lineRule="auto"/>
              <w:rPr>
                <w:rFonts w:ascii="Times New Roman" w:hAnsi="Times New Roman" w:cs="Times New Roman"/>
              </w:rPr>
            </w:pPr>
            <w:r>
              <w:rPr>
                <w:rFonts w:ascii="Times New Roman" w:hAnsi="Times New Roman" w:cs="Times New Roman"/>
              </w:rPr>
              <w:t>2.3.1.</w:t>
            </w:r>
          </w:p>
        </w:tc>
        <w:tc>
          <w:tcPr>
            <w:tcW w:w="4446" w:type="dxa"/>
          </w:tcPr>
          <w:p w14:paraId="3DACC5E6"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Segoe UI" w:hAnsi="Times New Roman" w:cs="Times New Roman"/>
                <w:color w:val="000000" w:themeColor="text1"/>
              </w:rPr>
              <w:t>Įrenginys turi būti pateikiamas su gamintojo garantija 60 mėnesių (nuo  sistemos pateikimo  priėmimo-perdavimo akto pasirašymo dienos) ir visom reikalingoms licencijoms šiam periodui. Turi būti gaunami reguliarūs virusų, įsilaužimo aprašai. Teikiamas gamintojo palaikymas 24x7 formatu.</w:t>
            </w:r>
          </w:p>
        </w:tc>
        <w:tc>
          <w:tcPr>
            <w:tcW w:w="4320" w:type="dxa"/>
          </w:tcPr>
          <w:p w14:paraId="129332FA"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Segoe UI" w:hAnsi="Times New Roman" w:cs="Times New Roman"/>
                <w:color w:val="000000" w:themeColor="text1"/>
              </w:rPr>
            </w:pPr>
          </w:p>
        </w:tc>
      </w:tr>
      <w:tr w:rsidR="00BB7DE7" w:rsidRPr="00302C90" w14:paraId="3064F026" w14:textId="0D297EF1" w:rsidTr="00BB7DE7">
        <w:trPr>
          <w:trHeight w:val="57"/>
        </w:trPr>
        <w:tc>
          <w:tcPr>
            <w:tcW w:w="1129" w:type="dxa"/>
            <w:noWrap/>
          </w:tcPr>
          <w:p w14:paraId="7752E3E3" w14:textId="1CBF24BD" w:rsidR="00BB7DE7" w:rsidRPr="0060407E" w:rsidRDefault="0060407E" w:rsidP="0060407E">
            <w:pPr>
              <w:spacing w:after="0" w:line="240" w:lineRule="auto"/>
              <w:rPr>
                <w:rFonts w:ascii="Times New Roman" w:hAnsi="Times New Roman" w:cs="Times New Roman"/>
              </w:rPr>
            </w:pPr>
            <w:r>
              <w:rPr>
                <w:rFonts w:ascii="Times New Roman" w:hAnsi="Times New Roman" w:cs="Times New Roman"/>
              </w:rPr>
              <w:lastRenderedPageBreak/>
              <w:t>2.3.2.</w:t>
            </w:r>
          </w:p>
        </w:tc>
        <w:tc>
          <w:tcPr>
            <w:tcW w:w="4446" w:type="dxa"/>
          </w:tcPr>
          <w:p w14:paraId="41FD6052"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hAnsi="Times New Roman" w:cs="Times New Roman"/>
              </w:rPr>
            </w:pPr>
            <w:r w:rsidRPr="00325B94">
              <w:rPr>
                <w:rFonts w:ascii="Times New Roman" w:eastAsia="Arial" w:hAnsi="Times New Roman" w:cs="Times New Roman"/>
                <w:color w:val="000000" w:themeColor="text1"/>
              </w:rPr>
              <w:t>Garantiniu laikotarpiu turi būti teikiamas nemokamas programinės įrangos klaidų šalinimas. Programinės įrangos klaidų šalinimas turi būti vykdomas kaip įmanoma per trumpesnį laiko periodą nuo Pirkėjo pranešimo Pardavėjui išsiuntimo dienos. Turi būti programinės įrangos atnaujinimo galimybė garantiniu laikotarpiu. Programinės įrangos atsisiuntimas iš gamintojo puslapio.</w:t>
            </w:r>
          </w:p>
        </w:tc>
        <w:tc>
          <w:tcPr>
            <w:tcW w:w="4320" w:type="dxa"/>
          </w:tcPr>
          <w:p w14:paraId="0BF797EE" w14:textId="77777777" w:rsidR="00BB7DE7" w:rsidRPr="00325B94" w:rsidRDefault="00BB7DE7" w:rsidP="004A3ACE">
            <w:pPr>
              <w:keepNext/>
              <w:keepLines/>
              <w:tabs>
                <w:tab w:val="left" w:pos="390"/>
                <w:tab w:val="left" w:pos="1035"/>
                <w:tab w:val="left" w:pos="1500"/>
              </w:tabs>
              <w:spacing w:after="0" w:line="240" w:lineRule="auto"/>
              <w:jc w:val="both"/>
              <w:rPr>
                <w:rFonts w:ascii="Times New Roman" w:eastAsia="Arial" w:hAnsi="Times New Roman" w:cs="Times New Roman"/>
                <w:color w:val="000000" w:themeColor="text1"/>
              </w:rPr>
            </w:pPr>
          </w:p>
        </w:tc>
      </w:tr>
    </w:tbl>
    <w:p w14:paraId="74FCD121" w14:textId="7C2D4536" w:rsidR="000122C8" w:rsidRPr="000122C8" w:rsidRDefault="000122C8" w:rsidP="0060407E">
      <w:pPr>
        <w:tabs>
          <w:tab w:val="left" w:pos="2640"/>
        </w:tabs>
        <w:rPr>
          <w:rFonts w:ascii="Times New Roman" w:hAnsi="Times New Roman" w:cs="Times New Roman"/>
          <w:sz w:val="24"/>
          <w:szCs w:val="24"/>
        </w:rPr>
      </w:pPr>
    </w:p>
    <w:p w14:paraId="07D9C901" w14:textId="77777777" w:rsidR="000122C8" w:rsidRPr="000122C8" w:rsidRDefault="000122C8" w:rsidP="000122C8">
      <w:pPr>
        <w:rPr>
          <w:rFonts w:ascii="Times New Roman" w:hAnsi="Times New Roman" w:cs="Times New Roman"/>
          <w:sz w:val="24"/>
          <w:szCs w:val="24"/>
        </w:rPr>
      </w:pPr>
    </w:p>
    <w:p w14:paraId="404F5CD7" w14:textId="77777777" w:rsidR="000122C8" w:rsidRPr="000122C8" w:rsidRDefault="000122C8" w:rsidP="000122C8">
      <w:pPr>
        <w:rPr>
          <w:rFonts w:ascii="Times New Roman" w:hAnsi="Times New Roman" w:cs="Times New Roman"/>
          <w:sz w:val="24"/>
          <w:szCs w:val="24"/>
        </w:rPr>
      </w:pPr>
    </w:p>
    <w:p w14:paraId="6362E951" w14:textId="77777777" w:rsidR="000122C8" w:rsidRPr="000122C8" w:rsidRDefault="000122C8" w:rsidP="000122C8">
      <w:pPr>
        <w:rPr>
          <w:rFonts w:ascii="Times New Roman" w:hAnsi="Times New Roman" w:cs="Times New Roman"/>
          <w:sz w:val="24"/>
          <w:szCs w:val="24"/>
        </w:rPr>
      </w:pPr>
    </w:p>
    <w:p w14:paraId="1399C080" w14:textId="77777777" w:rsidR="000122C8" w:rsidRPr="000122C8" w:rsidRDefault="000122C8" w:rsidP="000122C8">
      <w:pPr>
        <w:rPr>
          <w:rFonts w:ascii="Times New Roman" w:hAnsi="Times New Roman" w:cs="Times New Roman"/>
          <w:sz w:val="24"/>
          <w:szCs w:val="24"/>
        </w:rPr>
      </w:pPr>
    </w:p>
    <w:p w14:paraId="591794CF" w14:textId="77777777" w:rsidR="000122C8" w:rsidRPr="000122C8" w:rsidRDefault="000122C8" w:rsidP="000122C8">
      <w:pPr>
        <w:rPr>
          <w:rFonts w:ascii="Times New Roman" w:hAnsi="Times New Roman" w:cs="Times New Roman"/>
          <w:sz w:val="24"/>
          <w:szCs w:val="24"/>
        </w:rPr>
      </w:pPr>
    </w:p>
    <w:p w14:paraId="45A01FA4" w14:textId="77777777" w:rsidR="000122C8" w:rsidRPr="000122C8" w:rsidRDefault="000122C8" w:rsidP="000122C8">
      <w:pPr>
        <w:rPr>
          <w:rFonts w:ascii="Times New Roman" w:hAnsi="Times New Roman" w:cs="Times New Roman"/>
          <w:sz w:val="24"/>
          <w:szCs w:val="24"/>
        </w:rPr>
      </w:pPr>
    </w:p>
    <w:p w14:paraId="074E1841" w14:textId="77777777" w:rsidR="000122C8" w:rsidRPr="000122C8" w:rsidRDefault="000122C8" w:rsidP="000122C8">
      <w:pPr>
        <w:rPr>
          <w:rFonts w:ascii="Times New Roman" w:hAnsi="Times New Roman" w:cs="Times New Roman"/>
          <w:sz w:val="24"/>
          <w:szCs w:val="24"/>
        </w:rPr>
      </w:pPr>
    </w:p>
    <w:p w14:paraId="152E1033" w14:textId="77777777" w:rsidR="000122C8" w:rsidRPr="000122C8" w:rsidRDefault="000122C8" w:rsidP="000122C8">
      <w:pPr>
        <w:rPr>
          <w:rFonts w:ascii="Times New Roman" w:hAnsi="Times New Roman" w:cs="Times New Roman"/>
          <w:sz w:val="24"/>
          <w:szCs w:val="24"/>
        </w:rPr>
      </w:pPr>
    </w:p>
    <w:sectPr w:rsidR="000122C8" w:rsidRPr="000122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83B"/>
    <w:multiLevelType w:val="multilevel"/>
    <w:tmpl w:val="49A84614"/>
    <w:lvl w:ilvl="0">
      <w:start w:val="1"/>
      <w:numFmt w:val="decimal"/>
      <w:lvlText w:val="%1."/>
      <w:lvlJc w:val="left"/>
      <w:pPr>
        <w:ind w:left="227" w:hanging="227"/>
      </w:pPr>
      <w:rPr>
        <w:rFonts w:hint="default"/>
        <w:spacing w:val="-20"/>
        <w:w w:val="100"/>
        <w:kern w:val="16"/>
        <w:position w:val="0"/>
        <w14:numForm w14:val="default"/>
        <w14:numSpacing w14:val="default"/>
        <w14:stylisticSets>
          <w14:styleSet w14:id="1"/>
        </w14:stylisticSets>
      </w:rPr>
    </w:lvl>
    <w:lvl w:ilvl="1">
      <w:start w:val="1"/>
      <w:numFmt w:val="decimal"/>
      <w:lvlText w:val="%1.%2."/>
      <w:lvlJc w:val="left"/>
      <w:pPr>
        <w:ind w:left="250" w:hanging="227"/>
      </w:pPr>
      <w:rPr>
        <w:rFonts w:hint="default"/>
        <w:b w:val="0"/>
      </w:rPr>
    </w:lvl>
    <w:lvl w:ilvl="2">
      <w:start w:val="1"/>
      <w:numFmt w:val="decimal"/>
      <w:lvlText w:val="%1.%2.%3."/>
      <w:lvlJc w:val="left"/>
      <w:pPr>
        <w:ind w:left="1127" w:hanging="227"/>
      </w:pPr>
      <w:rPr>
        <w:rFonts w:hint="default"/>
        <w:b w:val="0"/>
      </w:rPr>
    </w:lvl>
    <w:lvl w:ilvl="3">
      <w:start w:val="1"/>
      <w:numFmt w:val="decimal"/>
      <w:lvlText w:val="%1.%2.%3.%4."/>
      <w:lvlJc w:val="left"/>
      <w:pPr>
        <w:ind w:left="296" w:hanging="227"/>
      </w:pPr>
      <w:rPr>
        <w:rFonts w:hint="default"/>
      </w:rPr>
    </w:lvl>
    <w:lvl w:ilvl="4">
      <w:start w:val="1"/>
      <w:numFmt w:val="decimal"/>
      <w:lvlText w:val="%1.%2.%3.%4.%5."/>
      <w:lvlJc w:val="left"/>
      <w:pPr>
        <w:ind w:left="319" w:hanging="227"/>
      </w:pPr>
      <w:rPr>
        <w:rFonts w:hint="default"/>
      </w:rPr>
    </w:lvl>
    <w:lvl w:ilvl="5">
      <w:start w:val="1"/>
      <w:numFmt w:val="decimal"/>
      <w:lvlText w:val="%1.%2.%3.%4.%5.%6."/>
      <w:lvlJc w:val="left"/>
      <w:pPr>
        <w:ind w:left="342" w:hanging="227"/>
      </w:pPr>
      <w:rPr>
        <w:rFonts w:hint="default"/>
      </w:rPr>
    </w:lvl>
    <w:lvl w:ilvl="6">
      <w:start w:val="1"/>
      <w:numFmt w:val="decimal"/>
      <w:lvlText w:val="%1.%2.%3.%4.%5.%6.%7."/>
      <w:lvlJc w:val="left"/>
      <w:pPr>
        <w:ind w:left="365" w:hanging="227"/>
      </w:pPr>
      <w:rPr>
        <w:rFonts w:hint="default"/>
      </w:rPr>
    </w:lvl>
    <w:lvl w:ilvl="7">
      <w:start w:val="1"/>
      <w:numFmt w:val="decimal"/>
      <w:lvlText w:val="%1.%2.%3.%4.%5.%6.%7.%8."/>
      <w:lvlJc w:val="left"/>
      <w:pPr>
        <w:ind w:left="388" w:hanging="227"/>
      </w:pPr>
      <w:rPr>
        <w:rFonts w:hint="default"/>
      </w:rPr>
    </w:lvl>
    <w:lvl w:ilvl="8">
      <w:start w:val="1"/>
      <w:numFmt w:val="decimal"/>
      <w:lvlText w:val="%1.%2.%3.%4.%5.%6.%7.%8.%9."/>
      <w:lvlJc w:val="left"/>
      <w:pPr>
        <w:ind w:left="411" w:hanging="227"/>
      </w:pPr>
      <w:rPr>
        <w:rFonts w:hint="default"/>
      </w:rPr>
    </w:lvl>
  </w:abstractNum>
  <w:abstractNum w:abstractNumId="1" w15:restartNumberingAfterBreak="0">
    <w:nsid w:val="0D7903E1"/>
    <w:multiLevelType w:val="hybridMultilevel"/>
    <w:tmpl w:val="16E6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6B56B3"/>
    <w:multiLevelType w:val="hybridMultilevel"/>
    <w:tmpl w:val="D1DA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550ACE"/>
    <w:multiLevelType w:val="multilevel"/>
    <w:tmpl w:val="83D6336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BB4433"/>
    <w:multiLevelType w:val="hybridMultilevel"/>
    <w:tmpl w:val="FFFFFFFF"/>
    <w:lvl w:ilvl="0" w:tplc="49C22C3E">
      <w:start w:val="1"/>
      <w:numFmt w:val="bullet"/>
      <w:lvlText w:val="-"/>
      <w:lvlJc w:val="left"/>
      <w:pPr>
        <w:ind w:left="720" w:hanging="360"/>
      </w:pPr>
      <w:rPr>
        <w:rFonts w:ascii="Times New Roman" w:hAnsi="Times New Roman" w:cs="Times New Roman" w:hint="default"/>
      </w:rPr>
    </w:lvl>
    <w:lvl w:ilvl="1" w:tplc="C53AC288">
      <w:start w:val="1"/>
      <w:numFmt w:val="bullet"/>
      <w:lvlText w:val="o"/>
      <w:lvlJc w:val="left"/>
      <w:pPr>
        <w:ind w:left="1440" w:hanging="360"/>
      </w:pPr>
      <w:rPr>
        <w:rFonts w:ascii="Courier New" w:hAnsi="Courier New" w:cs="Times New Roman" w:hint="default"/>
      </w:rPr>
    </w:lvl>
    <w:lvl w:ilvl="2" w:tplc="7298B65C">
      <w:start w:val="1"/>
      <w:numFmt w:val="bullet"/>
      <w:lvlText w:val=""/>
      <w:lvlJc w:val="left"/>
      <w:pPr>
        <w:ind w:left="2160" w:hanging="360"/>
      </w:pPr>
      <w:rPr>
        <w:rFonts w:ascii="Wingdings" w:hAnsi="Wingdings" w:hint="default"/>
      </w:rPr>
    </w:lvl>
    <w:lvl w:ilvl="3" w:tplc="9B687BA6">
      <w:start w:val="1"/>
      <w:numFmt w:val="bullet"/>
      <w:lvlText w:val=""/>
      <w:lvlJc w:val="left"/>
      <w:pPr>
        <w:ind w:left="2880" w:hanging="360"/>
      </w:pPr>
      <w:rPr>
        <w:rFonts w:ascii="Symbol" w:hAnsi="Symbol" w:hint="default"/>
      </w:rPr>
    </w:lvl>
    <w:lvl w:ilvl="4" w:tplc="10169596">
      <w:start w:val="1"/>
      <w:numFmt w:val="bullet"/>
      <w:lvlText w:val="o"/>
      <w:lvlJc w:val="left"/>
      <w:pPr>
        <w:ind w:left="3600" w:hanging="360"/>
      </w:pPr>
      <w:rPr>
        <w:rFonts w:ascii="Courier New" w:hAnsi="Courier New" w:cs="Times New Roman" w:hint="default"/>
      </w:rPr>
    </w:lvl>
    <w:lvl w:ilvl="5" w:tplc="48E869C0">
      <w:start w:val="1"/>
      <w:numFmt w:val="bullet"/>
      <w:lvlText w:val=""/>
      <w:lvlJc w:val="left"/>
      <w:pPr>
        <w:ind w:left="4320" w:hanging="360"/>
      </w:pPr>
      <w:rPr>
        <w:rFonts w:ascii="Wingdings" w:hAnsi="Wingdings" w:hint="default"/>
      </w:rPr>
    </w:lvl>
    <w:lvl w:ilvl="6" w:tplc="4F68DCBA">
      <w:start w:val="1"/>
      <w:numFmt w:val="bullet"/>
      <w:lvlText w:val=""/>
      <w:lvlJc w:val="left"/>
      <w:pPr>
        <w:ind w:left="5040" w:hanging="360"/>
      </w:pPr>
      <w:rPr>
        <w:rFonts w:ascii="Symbol" w:hAnsi="Symbol" w:hint="default"/>
      </w:rPr>
    </w:lvl>
    <w:lvl w:ilvl="7" w:tplc="51E4F664">
      <w:start w:val="1"/>
      <w:numFmt w:val="bullet"/>
      <w:lvlText w:val="o"/>
      <w:lvlJc w:val="left"/>
      <w:pPr>
        <w:ind w:left="5760" w:hanging="360"/>
      </w:pPr>
      <w:rPr>
        <w:rFonts w:ascii="Courier New" w:hAnsi="Courier New" w:cs="Times New Roman" w:hint="default"/>
      </w:rPr>
    </w:lvl>
    <w:lvl w:ilvl="8" w:tplc="118A4CF8">
      <w:start w:val="1"/>
      <w:numFmt w:val="bullet"/>
      <w:lvlText w:val=""/>
      <w:lvlJc w:val="left"/>
      <w:pPr>
        <w:ind w:left="6480" w:hanging="360"/>
      </w:pPr>
      <w:rPr>
        <w:rFonts w:ascii="Wingdings" w:hAnsi="Wingdings" w:hint="default"/>
      </w:rPr>
    </w:lvl>
  </w:abstractNum>
  <w:abstractNum w:abstractNumId="6" w15:restartNumberingAfterBreak="0">
    <w:nsid w:val="78C5794E"/>
    <w:multiLevelType w:val="hybridMultilevel"/>
    <w:tmpl w:val="10864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270453">
    <w:abstractNumId w:val="4"/>
  </w:num>
  <w:num w:numId="2" w16cid:durableId="1503206361">
    <w:abstractNumId w:val="0"/>
  </w:num>
  <w:num w:numId="3" w16cid:durableId="597761963">
    <w:abstractNumId w:val="5"/>
  </w:num>
  <w:num w:numId="4" w16cid:durableId="1957372963">
    <w:abstractNumId w:val="6"/>
  </w:num>
  <w:num w:numId="5" w16cid:durableId="1165629156">
    <w:abstractNumId w:val="2"/>
  </w:num>
  <w:num w:numId="6" w16cid:durableId="643581857">
    <w:abstractNumId w:val="1"/>
  </w:num>
  <w:num w:numId="7" w16cid:durableId="1946158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C8"/>
    <w:rsid w:val="000122C8"/>
    <w:rsid w:val="00034E71"/>
    <w:rsid w:val="000F4629"/>
    <w:rsid w:val="00214DCB"/>
    <w:rsid w:val="002A60C2"/>
    <w:rsid w:val="00325B94"/>
    <w:rsid w:val="003E53F8"/>
    <w:rsid w:val="004816A6"/>
    <w:rsid w:val="00535747"/>
    <w:rsid w:val="005606C8"/>
    <w:rsid w:val="005F32F5"/>
    <w:rsid w:val="0060407E"/>
    <w:rsid w:val="00681129"/>
    <w:rsid w:val="00681758"/>
    <w:rsid w:val="00752B5A"/>
    <w:rsid w:val="00851DE4"/>
    <w:rsid w:val="00895C38"/>
    <w:rsid w:val="00905331"/>
    <w:rsid w:val="00913BD8"/>
    <w:rsid w:val="009D2AB4"/>
    <w:rsid w:val="009E62D1"/>
    <w:rsid w:val="00B966C1"/>
    <w:rsid w:val="00BB7DE7"/>
    <w:rsid w:val="00C00EA2"/>
    <w:rsid w:val="00CC2B54"/>
    <w:rsid w:val="00D1476B"/>
    <w:rsid w:val="00D73BD1"/>
    <w:rsid w:val="00D75177"/>
    <w:rsid w:val="00F1199E"/>
    <w:rsid w:val="00F8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13FC"/>
  <w15:chartTrackingRefBased/>
  <w15:docId w15:val="{1A3E302F-680B-42D7-8ABA-7416FEE9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2C8"/>
    <w:pPr>
      <w:spacing w:after="200" w:line="276" w:lineRule="auto"/>
    </w:pPr>
    <w:rPr>
      <w:kern w:val="0"/>
      <w:lang w:val="lt-LT"/>
      <w14:ligatures w14:val="none"/>
    </w:rPr>
  </w:style>
  <w:style w:type="paragraph" w:styleId="Heading1">
    <w:name w:val="heading 1"/>
    <w:basedOn w:val="Normal"/>
    <w:next w:val="Normal"/>
    <w:link w:val="Heading1Char"/>
    <w:uiPriority w:val="9"/>
    <w:qFormat/>
    <w:rsid w:val="000122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22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22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22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22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22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22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22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22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2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22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22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22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22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22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22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22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22C8"/>
    <w:rPr>
      <w:rFonts w:eastAsiaTheme="majorEastAsia" w:cstheme="majorBidi"/>
      <w:color w:val="272727" w:themeColor="text1" w:themeTint="D8"/>
    </w:rPr>
  </w:style>
  <w:style w:type="paragraph" w:styleId="Title">
    <w:name w:val="Title"/>
    <w:basedOn w:val="Normal"/>
    <w:next w:val="Normal"/>
    <w:link w:val="TitleChar"/>
    <w:uiPriority w:val="10"/>
    <w:qFormat/>
    <w:rsid w:val="000122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2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2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2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2C8"/>
    <w:pPr>
      <w:spacing w:before="160"/>
      <w:jc w:val="center"/>
    </w:pPr>
    <w:rPr>
      <w:i/>
      <w:iCs/>
      <w:color w:val="404040" w:themeColor="text1" w:themeTint="BF"/>
    </w:rPr>
  </w:style>
  <w:style w:type="character" w:customStyle="1" w:styleId="QuoteChar">
    <w:name w:val="Quote Char"/>
    <w:basedOn w:val="DefaultParagraphFont"/>
    <w:link w:val="Quote"/>
    <w:uiPriority w:val="29"/>
    <w:rsid w:val="000122C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0122C8"/>
    <w:pPr>
      <w:ind w:left="720"/>
      <w:contextualSpacing/>
    </w:pPr>
  </w:style>
  <w:style w:type="character" w:styleId="IntenseEmphasis">
    <w:name w:val="Intense Emphasis"/>
    <w:basedOn w:val="DefaultParagraphFont"/>
    <w:uiPriority w:val="21"/>
    <w:qFormat/>
    <w:rsid w:val="000122C8"/>
    <w:rPr>
      <w:i/>
      <w:iCs/>
      <w:color w:val="0F4761" w:themeColor="accent1" w:themeShade="BF"/>
    </w:rPr>
  </w:style>
  <w:style w:type="paragraph" w:styleId="IntenseQuote">
    <w:name w:val="Intense Quote"/>
    <w:basedOn w:val="Normal"/>
    <w:next w:val="Normal"/>
    <w:link w:val="IntenseQuoteChar"/>
    <w:uiPriority w:val="30"/>
    <w:qFormat/>
    <w:rsid w:val="000122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22C8"/>
    <w:rPr>
      <w:i/>
      <w:iCs/>
      <w:color w:val="0F4761" w:themeColor="accent1" w:themeShade="BF"/>
    </w:rPr>
  </w:style>
  <w:style w:type="character" w:styleId="IntenseReference">
    <w:name w:val="Intense Reference"/>
    <w:basedOn w:val="DefaultParagraphFont"/>
    <w:uiPriority w:val="32"/>
    <w:qFormat/>
    <w:rsid w:val="000122C8"/>
    <w:rPr>
      <w:b/>
      <w:bCs/>
      <w:smallCaps/>
      <w:color w:val="0F4761" w:themeColor="accent1" w:themeShade="BF"/>
      <w:spacing w:val="5"/>
    </w:rPr>
  </w:style>
  <w:style w:type="table" w:styleId="TableGrid">
    <w:name w:val="Table Grid"/>
    <w:basedOn w:val="TableNormal"/>
    <w:uiPriority w:val="59"/>
    <w:rsid w:val="000122C8"/>
    <w:pPr>
      <w:spacing w:after="0" w:line="200" w:lineRule="atLeast"/>
      <w:ind w:left="34"/>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0122C8"/>
  </w:style>
  <w:style w:type="character" w:customStyle="1" w:styleId="normaltextrun">
    <w:name w:val="normaltextrun"/>
    <w:basedOn w:val="DefaultParagraphFont"/>
    <w:rsid w:val="00012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923471">
      <w:bodyDiv w:val="1"/>
      <w:marLeft w:val="0"/>
      <w:marRight w:val="0"/>
      <w:marTop w:val="0"/>
      <w:marBottom w:val="0"/>
      <w:divBdr>
        <w:top w:val="none" w:sz="0" w:space="0" w:color="auto"/>
        <w:left w:val="none" w:sz="0" w:space="0" w:color="auto"/>
        <w:bottom w:val="none" w:sz="0" w:space="0" w:color="auto"/>
        <w:right w:val="none" w:sz="0" w:space="0" w:color="auto"/>
      </w:divBdr>
    </w:div>
    <w:div w:id="188070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1743</Words>
  <Characters>9940</Characters>
  <Application>Microsoft Office Word</Application>
  <DocSecurity>0</DocSecurity>
  <Lines>82</Lines>
  <Paragraphs>23</Paragraphs>
  <ScaleCrop>false</ScaleCrop>
  <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Rūta Vitkauskienė</cp:lastModifiedBy>
  <cp:revision>21</cp:revision>
  <dcterms:created xsi:type="dcterms:W3CDTF">2024-11-12T12:13:00Z</dcterms:created>
  <dcterms:modified xsi:type="dcterms:W3CDTF">2025-02-07T10:53:00Z</dcterms:modified>
</cp:coreProperties>
</file>